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POL-17 · Política de Uso Aceptable de Inteligencia Artificial</w:t>
      </w:r>
    </w:p>
    <w:p>
      <w:pPr>
        <w:ind w:left="432"/>
      </w:pPr>
      <w:r>
        <w:rPr>
          <w:i/>
          <w:color w:val="606060"/>
        </w:rPr>
        <w:t>**Función del MCU 5.0:** Gobernar (GV.OR — políticas; GV.RM — riesgos) · Proteger (PR.AC, PR.DS — datos)</w:t>
      </w:r>
    </w:p>
    <w:p>
      <w:pPr>
        <w:ind w:left="432"/>
      </w:pPr>
      <w:r>
        <w:rPr>
          <w:i/>
          <w:color w:val="606060"/>
        </w:rPr>
        <w:t>**ISO/IEC 27001:** A.5.9 (activos) · A.8.2 (clasificación) · A.8.12 (prevención de fuga) · ISO/IEC 42001 (gobernanza de IA) como referencia</w:t>
      </w:r>
    </w:p>
    <w:p>
      <w:pPr>
        <w:ind w:left="432"/>
      </w:pPr>
      <w:r>
        <w:rPr>
          <w:i/>
          <w:color w:val="606060"/>
        </w:rPr>
        <w:t>**BCU:** EMG — gobierno y control de la información; riesgos de nuevas tecnologías</w:t>
      </w:r>
    </w:p>
    <w:p>
      <w:pPr>
        <w:ind w:left="432"/>
      </w:pPr>
      <w:r>
        <w:rPr>
          <w:i/>
          <w:color w:val="606060"/>
        </w:rPr>
        <w:t>**URCDP:** Ley 18.331 — finalidad, minimización, consentimiento y derechos en tratamientos automatizados; PD.1-PD.8 del MCU 5.0</w:t>
      </w:r>
    </w:p>
    <w:p>
      <w:pPr>
        <w:ind w:left="432"/>
      </w:pPr>
      <w:r>
        <w:rPr>
          <w:i/>
          <w:color w:val="606060"/>
        </w:rPr>
        <w:t>**Nivel del curso:** 🟡 Practicar →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POL-17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Uso Aceptable de Inteligencia Artificial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RSI + DPD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Comité de Datos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6 meses]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Establecer las reglas para el </w:t>
      </w:r>
      <w:r>
        <w:rPr>
          <w:b/>
        </w:rPr>
        <w:t>uso de herramientas de IA</w:t>
      </w:r>
      <w:r>
        <w:t xml:space="preserve"> en el Banco, maximizando la productividad y </w:t>
      </w:r>
      <w:r>
        <w:rPr>
          <w:b/>
        </w:rPr>
        <w:t>evitando la fuga de información</w:t>
      </w:r>
      <w:r>
        <w:t xml:space="preserve">, las alucinaciones, los sesgos y el incumplimiento normativo (ver curso </w:t>
      </w:r>
      <w:r>
        <w:rPr>
          <w:rFonts w:ascii="Consolas" w:hAnsi="Consolas"/>
          <w:sz w:val="20"/>
        </w:rPr>
        <w:t>curso-ia-segura</w:t>
      </w:r>
      <w:r>
        <w:t>).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todo el personal que use IA en el marco laboral: asistentes de código (OpenCode), interfaces en español (BigPickle), modelos locales (Ollama/vLLM), herramientas de nube contratadas y cualquier otra herramienta de IA.</w:t>
      </w:r>
    </w:p>
    <w:p>
      <w:pPr>
        <w:pStyle w:val="Heading3"/>
      </w:pPr>
      <w:r>
        <w:rPr>
          <w:color w:val="1F3B63"/>
        </w:rPr>
        <w:t>3. Clasificación del uso según el riesgo de la información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Nivel de datos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¿Se permite ingresar en IA externa?</w:t>
            </w:r>
          </w:p>
        </w:tc>
      </w:tr>
      <w:tr>
        <w:tc>
          <w:tcPr>
            <w:tcW w:type="dxa" w:w="4824"/>
          </w:tcPr>
          <w:p>
            <w:r/>
            <w:r>
              <w:t>Público</w:t>
            </w:r>
          </w:p>
        </w:tc>
        <w:tc>
          <w:tcPr>
            <w:tcW w:type="dxa" w:w="4824"/>
          </w:tcPr>
          <w:p>
            <w:r/>
            <w:r>
              <w:t>Sí, con normalidad</w:t>
            </w:r>
          </w:p>
        </w:tc>
      </w:tr>
      <w:tr>
        <w:tc>
          <w:tcPr>
            <w:tcW w:type="dxa" w:w="4824"/>
          </w:tcPr>
          <w:p>
            <w:r/>
            <w:r>
              <w:t>Uso interno</w:t>
            </w:r>
          </w:p>
        </w:tc>
        <w:tc>
          <w:tcPr>
            <w:tcW w:type="dxa" w:w="4824"/>
          </w:tcPr>
          <w:p>
            <w:r/>
            <w:r>
              <w:t xml:space="preserve">Solo con herramientas </w:t>
            </w:r>
            <w:r>
              <w:rPr>
                <w:b/>
              </w:rPr>
              <w:t>aprobadas</w:t>
            </w:r>
            <w:r>
              <w:t xml:space="preserve"> por la Div. TI</w:t>
            </w:r>
          </w:p>
        </w:tc>
      </w:tr>
      <w:tr>
        <w:tc>
          <w:tcPr>
            <w:tcW w:type="dxa" w:w="4824"/>
          </w:tcPr>
          <w:p>
            <w:r/>
            <w:r>
              <w:t>Confidencial (clientes, datos personales, estratégicos)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</w:t>
            </w:r>
            <w:r>
              <w:t xml:space="preserve"> salvo autorización expresa del RSI con herramienta aprobada</w:t>
            </w:r>
          </w:p>
        </w:tc>
      </w:tr>
      <w:tr>
        <w:tc>
          <w:tcPr>
            <w:tcW w:type="dxa" w:w="4824"/>
          </w:tcPr>
          <w:p>
            <w:r/>
            <w:r>
              <w:t>Muy confidencial (credenciales, claves, datos biométricos)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Prohibido siempre</w:t>
            </w:r>
            <w:r>
              <w:t xml:space="preserve"> en herramientas externas</w:t>
            </w:r>
          </w:p>
        </w:tc>
      </w:tr>
    </w:tbl>
    <w:p>
      <w:pPr>
        <w:pStyle w:val="Heading3"/>
      </w:pPr>
      <w:r>
        <w:rPr>
          <w:color w:val="1F3B63"/>
        </w:rPr>
        <w:t>4. Reglas obligatorias</w:t>
      </w:r>
    </w:p>
    <w:p>
      <w:pPr>
        <w:pStyle w:val="ListBullet"/>
      </w:pPr>
      <w:r>
        <w:t xml:space="preserve">Usar </w:t>
      </w:r>
      <w:r>
        <w:rPr>
          <w:b/>
        </w:rPr>
        <w:t>solo herramientas autorizadas</w:t>
      </w:r>
      <w:r>
        <w:t xml:space="preserve"> (registro de herramientas de IA); prohibido usar cuentas personales para trabajo.</w:t>
      </w:r>
    </w:p>
    <w:p>
      <w:pPr>
        <w:pStyle w:val="ListBullet"/>
      </w:pPr>
      <w:r>
        <w:rPr>
          <w:b/>
        </w:rPr>
        <w:t>No ingresar</w:t>
      </w:r>
      <w:r>
        <w:t xml:space="preserve"> datos personales de clientes, información bancaria de personas, claves o secretos en IA externa.</w:t>
      </w:r>
    </w:p>
    <w:p>
      <w:pPr>
        <w:pStyle w:val="ListBullet"/>
      </w:pPr>
      <w:r>
        <w:t xml:space="preserve">Si se necesitan datos, </w:t>
      </w:r>
      <w:r>
        <w:rPr>
          <w:b/>
        </w:rPr>
        <w:t>anonimizar</w:t>
      </w:r>
      <w:r>
        <w:t xml:space="preserve"> primero; ante la duda, consultar al DPD.</w:t>
      </w:r>
    </w:p>
    <w:p>
      <w:pPr>
        <w:pStyle w:val="ListBullet"/>
      </w:pPr>
      <w:r>
        <w:t xml:space="preserve">Todo resultado de IA se </w:t>
      </w:r>
      <w:r>
        <w:rPr>
          <w:b/>
        </w:rPr>
        <w:t>revisa manualmente</w:t>
      </w:r>
      <w:r>
        <w:t xml:space="preserve"> (puede ser incorrecto o alucinado).</w:t>
      </w:r>
    </w:p>
    <w:p>
      <w:pPr>
        <w:pStyle w:val="ListBullet"/>
      </w:pPr>
      <w:r>
        <w:t xml:space="preserve">El código generado por IA pasa el </w:t>
      </w:r>
      <w:r>
        <w:rPr>
          <w:b/>
        </w:rPr>
        <w:t>proceso de revisión y escaneo</w:t>
      </w:r>
      <w:r>
        <w:t xml:space="preserve"> (POL-15, SDLC).</w:t>
      </w:r>
    </w:p>
    <w:p>
      <w:pPr>
        <w:pStyle w:val="ListBullet"/>
      </w:pPr>
      <w:r>
        <w:t xml:space="preserve">Las decisiones que afecten derechos de personas </w:t>
      </w:r>
      <w:r>
        <w:rPr>
          <w:b/>
        </w:rPr>
        <w:t>no se delegan en IA</w:t>
      </w:r>
      <w:r>
        <w:t xml:space="preserve"> sin control humano.</w:t>
      </w:r>
    </w:p>
    <w:p>
      <w:pPr>
        <w:pStyle w:val="ListBullet"/>
      </w:pPr>
      <w:r>
        <w:rPr>
          <w:b/>
        </w:rPr>
        <w:t>Declarar el uso de IA</w:t>
      </w:r>
      <w:r>
        <w:t xml:space="preserve"> en informes y entregables cuando sea materialmente relevante.</w:t>
      </w:r>
    </w:p>
    <w:p>
      <w:pPr>
        <w:pStyle w:val="ListBullet"/>
      </w:pPr>
      <w:r>
        <w:t xml:space="preserve">Los </w:t>
      </w:r>
      <w:r>
        <w:rPr>
          <w:b/>
        </w:rPr>
        <w:t>modelos</w:t>
      </w:r>
      <w:r>
        <w:t xml:space="preserve"> se gestionan con versionado, verificación y prueba (curso AISEC-13/AISEC-14).</w:t>
      </w:r>
    </w:p>
    <w:p>
      <w:pPr>
        <w:pStyle w:val="Heading3"/>
      </w:pPr>
      <w:r>
        <w:rPr>
          <w:color w:val="1F3B63"/>
        </w:rPr>
        <w:t>5. Riesgos a mitigar</w:t>
      </w:r>
    </w:p>
    <w:p>
      <w:pPr>
        <w:pStyle w:val="ListBullet"/>
      </w:pPr>
      <w:r>
        <w:t>Fuga de información (prompt en herramientas no controladas).</w:t>
      </w:r>
    </w:p>
    <w:p>
      <w:pPr>
        <w:pStyle w:val="ListBullet"/>
      </w:pPr>
      <w:r>
        <w:t>Alucinaciones (datos inventados en informes, contratos, análisis).</w:t>
      </w:r>
    </w:p>
    <w:p>
      <w:pPr>
        <w:pStyle w:val="ListBullet"/>
      </w:pPr>
      <w:r>
        <w:t>Sesgo algorítmico y decisiones sin supervisión.</w:t>
      </w:r>
    </w:p>
    <w:p>
      <w:pPr>
        <w:pStyle w:val="ListBullet"/>
      </w:pPr>
      <w:r>
        <w:t>Prompt injection y envenenamiento de datos en asistentes conectados a sistemas.</w:t>
      </w:r>
    </w:p>
    <w:p>
      <w:pPr>
        <w:pStyle w:val="ListBullet"/>
      </w:pPr>
      <w:r>
        <w:t>Propiedad intelectual de contenidos generados.</w:t>
      </w:r>
    </w:p>
    <w:p>
      <w:pPr>
        <w:pStyle w:val="Heading3"/>
      </w:pPr>
      <w:r>
        <w:rPr>
          <w:color w:val="1F3B63"/>
        </w:rPr>
        <w:t>6. Cumplimiento</w:t>
      </w:r>
    </w:p>
    <w:p>
      <w:r>
        <w:t xml:space="preserve">El incumplimiento de la regla de </w:t>
      </w:r>
      <w:r>
        <w:rPr>
          <w:b/>
        </w:rPr>
        <w:t>no ingreso de datos confidenciales</w:t>
      </w:r>
      <w:r>
        <w:t xml:space="preserve"> se trata como incidente de seguridad y puede requerir </w:t>
      </w:r>
      <w:r>
        <w:rPr>
          <w:b/>
        </w:rPr>
        <w:t>notificación a la URCDP</w:t>
      </w:r>
      <w:r>
        <w:t xml:space="preserve"> (Decreto 64/020, PRO-05). El DPD evalúa la obligación de notificar.</w:t>
      </w:r>
    </w:p>
    <w:p>
      <w:pPr>
        <w:pStyle w:val="Heading3"/>
      </w:pPr>
      <w:r>
        <w:rPr>
          <w:color w:val="1F3B63"/>
        </w:rPr>
        <w:t>7. Revisión</w:t>
      </w:r>
    </w:p>
    <w:p>
      <w:r>
        <w:t xml:space="preserve">Dado el dinamismo de la IA, se revisa </w:t>
      </w:r>
      <w:r>
        <w:rPr>
          <w:b/>
        </w:rPr>
        <w:t>cada 6 meses</w:t>
      </w:r>
      <w:r>
        <w:t xml:space="preserve"> o ante nuevas herramientas o normas sobre IA.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Registro de herramientas de IA aprobadas</w:t>
            </w:r>
          </w:p>
        </w:tc>
        <w:tc>
          <w:tcPr>
            <w:tcW w:type="dxa" w:w="4824"/>
          </w:tcPr>
          <w:p>
            <w:r/>
            <w:r>
              <w:t>GV-04, curso AISEC-09</w:t>
            </w:r>
          </w:p>
        </w:tc>
      </w:tr>
      <w:tr>
        <w:tc>
          <w:tcPr>
            <w:tcW w:type="dxa" w:w="4824"/>
          </w:tcPr>
          <w:p>
            <w:r/>
            <w:r>
              <w:t>Capacitación sobre IA segura</w:t>
            </w:r>
          </w:p>
        </w:tc>
        <w:tc>
          <w:tcPr>
            <w:tcW w:type="dxa" w:w="4824"/>
          </w:tcPr>
          <w:p>
            <w:r/>
            <w:r>
              <w:t>PR-02, PRO-12, curso AISEC-10</w:t>
            </w:r>
          </w:p>
        </w:tc>
      </w:tr>
      <w:tr>
        <w:tc>
          <w:tcPr>
            <w:tcW w:type="dxa" w:w="4824"/>
          </w:tcPr>
          <w:p>
            <w:r/>
            <w:r>
              <w:t>Procedimiento de revisión de código generado</w:t>
            </w:r>
          </w:p>
        </w:tc>
        <w:tc>
          <w:tcPr>
            <w:tcW w:type="dxa" w:w="4824"/>
          </w:tcPr>
          <w:p>
            <w:r/>
            <w:r>
              <w:t>POL-15</w:t>
            </w:r>
          </w:p>
        </w:tc>
      </w:tr>
      <w:tr>
        <w:tc>
          <w:tcPr>
            <w:tcW w:type="dxa" w:w="4824"/>
          </w:tcPr>
          <w:p>
            <w:r/>
            <w:r>
              <w:t>Registro de modelos (versiones, hashes)</w:t>
            </w:r>
          </w:p>
        </w:tc>
        <w:tc>
          <w:tcPr>
            <w:tcW w:type="dxa" w:w="4824"/>
          </w:tcPr>
          <w:p>
            <w:r/>
            <w:r>
              <w:t>curso AISEC-13</w:t>
            </w:r>
          </w:p>
        </w:tc>
      </w:tr>
      <w:tr>
        <w:tc>
          <w:tcPr>
            <w:tcW w:type="dxa" w:w="4824"/>
          </w:tcPr>
          <w:p>
            <w:r/>
            <w:r>
              <w:t>Análisis de riesgos del uso de IA</w:t>
            </w:r>
          </w:p>
        </w:tc>
        <w:tc>
          <w:tcPr>
            <w:tcW w:type="dxa" w:w="4824"/>
          </w:tcPr>
          <w:p>
            <w:r/>
            <w:r>
              <w:t>ID-02, GV-03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