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POL-18 · Política de Escritorio y Pantalla Limpia</w:t>
      </w:r>
    </w:p>
    <w:p>
      <w:pPr>
        <w:ind w:left="432"/>
      </w:pPr>
      <w:r>
        <w:rPr>
          <w:i/>
          <w:color w:val="606060"/>
        </w:rPr>
        <w:t>**Función del MCU 5.0:** Proteger (PR.DS — protección de datos)</w:t>
      </w:r>
    </w:p>
    <w:p>
      <w:pPr>
        <w:ind w:left="432"/>
      </w:pPr>
      <w:r>
        <w:rPr>
          <w:i/>
          <w:color w:val="606060"/>
        </w:rPr>
        <w:t>**ISO/IEC 27001:** A.7.7 (escritorio y pantalla limpia) · A.8.2 (clasificación)</w:t>
      </w:r>
    </w:p>
    <w:p>
      <w:pPr>
        <w:ind w:left="432"/>
      </w:pPr>
      <w:r>
        <w:rPr>
          <w:i/>
          <w:color w:val="606060"/>
        </w:rPr>
        <w:t>**BCU:** EMG — prevención de exposición física de información</w:t>
      </w:r>
    </w:p>
    <w:p>
      <w:pPr>
        <w:ind w:left="432"/>
      </w:pPr>
      <w:r>
        <w:rPr>
          <w:i/>
          <w:color w:val="606060"/>
        </w:rPr>
        <w:t>**URCDP:** Ley 18.331 art. 10 — medidas organizativas para proteger datos personales en el puesto de trabajo</w:t>
      </w:r>
    </w:p>
    <w:p>
      <w:pPr>
        <w:ind w:left="432"/>
      </w:pPr>
      <w:r>
        <w:rPr>
          <w:i/>
          <w:color w:val="606060"/>
        </w:rPr>
        <w:t>**Nivel del curso:** 🟢 Descubrir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POL-18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Escritorio y Pantalla Limpia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RRHH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Reducir el riesgo de </w:t>
      </w:r>
      <w:r>
        <w:rPr>
          <w:b/>
        </w:rPr>
        <w:t>exposición accidental</w:t>
      </w:r>
      <w:r>
        <w:t xml:space="preserve"> de información confidencial en el puesto de trabajo, el escritorio y las pantallas.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todos los puestos de trabajo, oficinas, salas de reunión, áreas de atención y equipos portátiles del Banco.</w:t>
      </w:r>
    </w:p>
    <w:p>
      <w:pPr>
        <w:pStyle w:val="Heading3"/>
      </w:pPr>
      <w:r>
        <w:rPr>
          <w:color w:val="1F3B63"/>
        </w:rPr>
        <w:t>3. Reglas obligatorias</w:t>
      </w:r>
    </w:p>
    <w:p>
      <w:pPr>
        <w:pStyle w:val="ListBullet"/>
      </w:pPr>
      <w:r>
        <w:rPr>
          <w:b/>
        </w:rPr>
        <w:t>Escritorio limpio</w:t>
      </w:r>
      <w:r>
        <w:t>: al ausentarse, no quedan documentos confidenciales a la vista; se guardan bajo llave.</w:t>
      </w:r>
    </w:p>
    <w:p>
      <w:pPr>
        <w:pStyle w:val="ListBullet"/>
      </w:pPr>
      <w:r>
        <w:rPr>
          <w:b/>
        </w:rPr>
        <w:t>Pantalla limpia</w:t>
      </w:r>
      <w:r>
        <w:t>: la pantalla se bloquea al ausentarse (bloqueo automático máximo [COMPLETAR: 5 min]); no quedan datos visibles al pasar por el puesto.</w:t>
      </w:r>
    </w:p>
    <w:p>
      <w:pPr>
        <w:pStyle w:val="ListBullet"/>
      </w:pPr>
      <w:r>
        <w:rPr>
          <w:b/>
        </w:rPr>
        <w:t>Impresoras</w:t>
      </w:r>
      <w:r>
        <w:t>: no quedan impresiones confidenciales en bandejas; se retiran al instante; las impresiones sensibles se recogen con llave o PIN.</w:t>
      </w:r>
    </w:p>
    <w:p>
      <w:pPr>
        <w:pStyle w:val="ListBullet"/>
      </w:pPr>
      <w:r>
        <w:rPr>
          <w:b/>
        </w:rPr>
        <w:t>Reuniones</w:t>
      </w:r>
      <w:r>
        <w:t>: se ocultan proyecciones con datos sensibles al finalizar; las pizarras se borran.</w:t>
      </w:r>
    </w:p>
    <w:p>
      <w:pPr>
        <w:pStyle w:val="ListBullet"/>
      </w:pPr>
      <w:r>
        <w:rPr>
          <w:b/>
        </w:rPr>
        <w:t>Áreas de atención al público</w:t>
      </w:r>
      <w:r>
        <w:t>: las pantallas se orientan para no ser vistas por terceros; no se exhiben datos de clientes.</w:t>
      </w:r>
    </w:p>
    <w:p>
      <w:pPr>
        <w:pStyle w:val="ListBullet"/>
      </w:pPr>
      <w:r>
        <w:rPr>
          <w:b/>
        </w:rPr>
        <w:t>Dispositivos móviles</w:t>
      </w:r>
      <w:r>
        <w:t>: bloqueo de pantalla siempre (POL-16).</w:t>
      </w:r>
    </w:p>
    <w:p>
      <w:pPr>
        <w:pStyle w:val="ListBullet"/>
      </w:pPr>
      <w:r>
        <w:t>Los documentos clasificados se destruyen de forma segura al descartarlos (PRO-09).</w:t>
      </w:r>
    </w:p>
    <w:p>
      <w:pPr>
        <w:pStyle w:val="Heading3"/>
      </w:pPr>
      <w:r>
        <w:rPr>
          <w:color w:val="1F3B63"/>
        </w:rPr>
        <w:t>4. Responsabilidades</w:t>
      </w:r>
    </w:p>
    <w:p>
      <w:pPr>
        <w:pStyle w:val="ListBullet"/>
      </w:pPr>
      <w:r>
        <w:rPr>
          <w:b/>
        </w:rPr>
        <w:t>Todo el personal</w:t>
      </w:r>
      <w:r>
        <w:t>: cumple la regla en su puesto.</w:t>
      </w:r>
    </w:p>
    <w:p>
      <w:pPr>
        <w:pStyle w:val="ListBullet"/>
      </w:pPr>
      <w:r>
        <w:rPr>
          <w:b/>
        </w:rPr>
        <w:t>Supervisores</w:t>
      </w:r>
      <w:r>
        <w:t>: verifican en su área (rondas y revisiones).</w:t>
      </w:r>
    </w:p>
    <w:p>
      <w:pPr>
        <w:pStyle w:val="ListBullet"/>
      </w:pPr>
      <w:r>
        <w:rPr>
          <w:b/>
        </w:rPr>
        <w:t>Seguridad Física</w:t>
      </w:r>
      <w:r>
        <w:t>: observa y reporta exposiciones.</w:t>
      </w:r>
    </w:p>
    <w:p>
      <w:pPr>
        <w:pStyle w:val="Heading3"/>
      </w:pPr>
      <w:r>
        <w:rPr>
          <w:color w:val="1F3B63"/>
        </w:rPr>
        <w:t>5. Cumplimiento y revisión</w:t>
      </w:r>
    </w:p>
    <w:p>
      <w:r>
        <w:t>Los hallazgos de exposición se registran y se corrigen; el incumplimiento reiterado se gestiona por RRHH. Revisión anual de la política.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Política aprobada</w:t>
            </w:r>
          </w:p>
        </w:tc>
        <w:tc>
          <w:tcPr>
            <w:tcW w:type="dxa" w:w="4824"/>
          </w:tcPr>
          <w:p>
            <w:r/>
            <w:r>
              <w:t>GV-01</w:t>
            </w:r>
          </w:p>
        </w:tc>
      </w:tr>
      <w:tr>
        <w:tc>
          <w:tcPr>
            <w:tcW w:type="dxa" w:w="4824"/>
          </w:tcPr>
          <w:p>
            <w:r/>
            <w:r>
              <w:t>Registro de revisiones de escritorio limpio</w:t>
            </w:r>
          </w:p>
        </w:tc>
        <w:tc>
          <w:tcPr>
            <w:tcW w:type="dxa" w:w="4824"/>
          </w:tcPr>
          <w:p>
            <w:r/>
            <w:r>
              <w:t>PR-04</w:t>
            </w:r>
          </w:p>
        </w:tc>
      </w:tr>
      <w:tr>
        <w:tc>
          <w:tcPr>
            <w:tcW w:type="dxa" w:w="4824"/>
          </w:tcPr>
          <w:p>
            <w:r/>
            <w:r>
              <w:t>Comunicación al personal</w:t>
            </w:r>
          </w:p>
        </w:tc>
        <w:tc>
          <w:tcPr>
            <w:tcW w:type="dxa" w:w="4824"/>
          </w:tcPr>
          <w:p>
            <w:r/>
            <w:r>
              <w:t>PR-02</w:t>
            </w:r>
          </w:p>
        </w:tc>
      </w:tr>
      <w:tr>
        <w:tc>
          <w:tcPr>
            <w:tcW w:type="dxa" w:w="4824"/>
          </w:tcPr>
          <w:p>
            <w:r/>
            <w:r>
              <w:t>Procedimiento de destrucción</w:t>
            </w:r>
          </w:p>
        </w:tc>
        <w:tc>
          <w:tcPr>
            <w:tcW w:type="dxa" w:w="4824"/>
          </w:tcPr>
          <w:p>
            <w:r/>
            <w:r>
              <w:t>PRO-09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