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POL-19 · Política de Servicios en la Nube</w:t>
      </w:r>
    </w:p>
    <w:p>
      <w:pPr>
        <w:ind w:left="432"/>
      </w:pPr>
      <w:r>
        <w:rPr>
          <w:i/>
          <w:color w:val="606060"/>
        </w:rPr>
        <w:t>**Función del MCU 5.0:** Gobernar (GV.SC — proveedores) · Proteger (PR.DS — datos; PR.AC — acceso)</w:t>
      </w:r>
    </w:p>
    <w:p>
      <w:pPr>
        <w:ind w:left="432"/>
      </w:pPr>
      <w:r>
        <w:rPr>
          <w:i/>
          <w:color w:val="606060"/>
        </w:rPr>
        <w:t>**ISO/IEC 27001:** A.5.30 (continuidad en nube) · A.8.2-A.8.3 (dispositivos) · A.5.19-A.5.22 (proveedores) · A.5.34 (datos personales)</w:t>
      </w:r>
    </w:p>
    <w:p>
      <w:pPr>
        <w:ind w:left="432"/>
      </w:pPr>
      <w:r>
        <w:rPr>
          <w:i/>
          <w:color w:val="606060"/>
        </w:rPr>
        <w:t>**BCU:** EMG / RNRCSF — la nube se gestiona como servicio de terceros con control del banco</w:t>
      </w:r>
    </w:p>
    <w:p>
      <w:pPr>
        <w:ind w:left="432"/>
      </w:pPr>
      <w:r>
        <w:rPr>
          <w:i/>
          <w:color w:val="606060"/>
        </w:rPr>
        <w:t>**URCDP:** Ley 18.331 art. 18 y Decreto 64/020 — transferencias internacionales y garantías de los encargados de tratamiento en la nube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POL-19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Servicios en la Nube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Div. TI + RSI + DPD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Legales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Regular la </w:t>
      </w:r>
      <w:r>
        <w:rPr>
          <w:b/>
        </w:rPr>
        <w:t>adopción y uso de servicios en la nube</w:t>
      </w:r>
      <w:r>
        <w:t xml:space="preserve"> (SaaS, IaaS, PaaS), garantizando que la información del Banco se aloja con proveedores autorizados, con contratos y controles adecuados.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todo servicio en la nube que procese, almacene o transmita información del Banco, contratado por cualquier área (incluye shadow IT: servicios no autorizados).</w:t>
      </w:r>
    </w:p>
    <w:p>
      <w:pPr>
        <w:pStyle w:val="Heading3"/>
      </w:pPr>
      <w:r>
        <w:rPr>
          <w:color w:val="1F3B63"/>
        </w:rPr>
        <w:t>3. Reglas obligatorias</w:t>
      </w:r>
    </w:p>
    <w:p>
      <w:pPr>
        <w:pStyle w:val="ListBullet"/>
      </w:pPr>
      <w:r>
        <w:rPr>
          <w:b/>
        </w:rPr>
        <w:t>Autorización previa</w:t>
      </w:r>
      <w:r>
        <w:t>: ningún servicio en la nube se usa sin aprobación (POL-11, PRO-13); los servicios no autorizados se detectan y gestionan (POL-02).</w:t>
      </w:r>
    </w:p>
    <w:p>
      <w:pPr>
        <w:pStyle w:val="ListBullet"/>
      </w:pPr>
      <w:r>
        <w:rPr>
          <w:b/>
        </w:rPr>
        <w:t>Evaluación</w:t>
      </w:r>
      <w:r>
        <w:t>: se evalúan seguridad, residencia de datos, cumplimiento (URCDP/BCU), disponibilidad y modelo de soporte antes de contratar.</w:t>
      </w:r>
    </w:p>
    <w:p>
      <w:pPr>
        <w:pStyle w:val="ListBullet"/>
      </w:pPr>
      <w:r>
        <w:rPr>
          <w:b/>
        </w:rPr>
        <w:t>Contratos</w:t>
      </w:r>
      <w:r>
        <w:t>: cláusulas de seguridad, tratamiento de datos personales (encargado), notificación de incidentes, auditoría, subcontratación y portabilidad (POL-11).</w:t>
      </w:r>
    </w:p>
    <w:p>
      <w:pPr>
        <w:pStyle w:val="ListBullet"/>
      </w:pPr>
      <w:r>
        <w:rPr>
          <w:b/>
        </w:rPr>
        <w:t>Datos personales</w:t>
      </w:r>
      <w:r>
        <w:t>: se verifica la base legal de la transferencia (Ley 18.331, Decreto 414/009) y se registra en el inventario del DPD (POL-20).</w:t>
      </w:r>
    </w:p>
    <w:p>
      <w:pPr>
        <w:pStyle w:val="ListBullet"/>
      </w:pPr>
      <w:r>
        <w:rPr>
          <w:b/>
        </w:rPr>
        <w:t>Acceso y credenciales</w:t>
      </w:r>
      <w:r>
        <w:t>: identidades corporativas (SSO/MFA), menor privilegio y revisión periódica (POL-04).</w:t>
      </w:r>
    </w:p>
    <w:p>
      <w:pPr>
        <w:pStyle w:val="ListBullet"/>
      </w:pPr>
      <w:r>
        <w:rPr>
          <w:b/>
        </w:rPr>
        <w:t>Cifrado</w:t>
      </w:r>
      <w:r>
        <w:t>: datos en reposo y en tránsito cifrados (POL-14); claves gestionadas por el Banco cuando corresponda.</w:t>
      </w:r>
    </w:p>
    <w:p>
      <w:pPr>
        <w:pStyle w:val="ListBullet"/>
      </w:pPr>
      <w:r>
        <w:rPr>
          <w:b/>
        </w:rPr>
        <w:t>Configuración segura</w:t>
      </w:r>
      <w:r>
        <w:t>: se siguen las buenas prácticas del proveedor y la política de hardening (POL-15); se audita la configuración.</w:t>
      </w:r>
    </w:p>
    <w:p>
      <w:pPr>
        <w:pStyle w:val="ListBullet"/>
      </w:pPr>
      <w:r>
        <w:rPr>
          <w:b/>
        </w:rPr>
        <w:t>Respaldos</w:t>
      </w:r>
      <w:r>
        <w:t>: cobertura conforme a POL-08.</w:t>
      </w:r>
    </w:p>
    <w:p>
      <w:pPr>
        <w:pStyle w:val="ListBullet"/>
      </w:pPr>
      <w:r>
        <w:rPr>
          <w:b/>
        </w:rPr>
        <w:t>Salida</w:t>
      </w:r>
      <w:r>
        <w:t>: plan de migración y retiro de datos al finalizar el contrato.</w:t>
      </w:r>
    </w:p>
    <w:p>
      <w:pPr>
        <w:pStyle w:val="Heading3"/>
      </w:pPr>
      <w:r>
        <w:rPr>
          <w:color w:val="1F3B63"/>
        </w:rPr>
        <w:t>4. Responsabilidades</w:t>
      </w:r>
    </w:p>
    <w:p>
      <w:pPr>
        <w:pStyle w:val="ListBullet"/>
      </w:pPr>
      <w:r>
        <w:rPr>
          <w:b/>
        </w:rPr>
        <w:t>Div. TI</w:t>
      </w:r>
      <w:r>
        <w:t>: arquitectura, configuración y operación de la nube.</w:t>
      </w:r>
    </w:p>
    <w:p>
      <w:pPr>
        <w:pStyle w:val="ListBullet"/>
      </w:pPr>
      <w:r>
        <w:rPr>
          <w:b/>
        </w:rPr>
        <w:t>RSI</w:t>
      </w:r>
      <w:r>
        <w:t>: evaluación de seguridad y seguimiento.</w:t>
      </w:r>
    </w:p>
    <w:p>
      <w:pPr>
        <w:pStyle w:val="ListBullet"/>
      </w:pPr>
      <w:r>
        <w:rPr>
          <w:b/>
        </w:rPr>
        <w:t>DPD</w:t>
      </w:r>
      <w:r>
        <w:t>: evaluación de datos personales y EIPD.</w:t>
      </w:r>
    </w:p>
    <w:p>
      <w:pPr>
        <w:pStyle w:val="ListBullet"/>
      </w:pPr>
      <w:r>
        <w:rPr>
          <w:b/>
        </w:rPr>
        <w:t>Compras/Legales</w:t>
      </w:r>
      <w:r>
        <w:t>: contratos.</w:t>
      </w:r>
    </w:p>
    <w:p>
      <w:pPr>
        <w:pStyle w:val="Heading3"/>
      </w:pPr>
      <w:r>
        <w:rPr>
          <w:color w:val="1F3B63"/>
        </w:rPr>
        <w:t>5. Cumplimiento y revisión</w:t>
      </w:r>
    </w:p>
    <w:p>
      <w:r>
        <w:t>El uso no autorizado de nube (shadow IT) se gestiona como hallazgo (POL-02). Revisión anual de la política y del inventario de servicios.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Inventario de servicios en la nube</w:t>
            </w:r>
          </w:p>
        </w:tc>
        <w:tc>
          <w:tcPr>
            <w:tcW w:type="dxa" w:w="4824"/>
          </w:tcPr>
          <w:p>
            <w:r/>
            <w:r>
              <w:t>GV-04</w:t>
            </w:r>
          </w:p>
        </w:tc>
      </w:tr>
      <w:tr>
        <w:tc>
          <w:tcPr>
            <w:tcW w:type="dxa" w:w="4824"/>
          </w:tcPr>
          <w:p>
            <w:r/>
            <w:r>
              <w:t>Contratos y anexos de seguridad</w:t>
            </w:r>
          </w:p>
        </w:tc>
        <w:tc>
          <w:tcPr>
            <w:tcW w:type="dxa" w:w="4824"/>
          </w:tcPr>
          <w:p>
            <w:r/>
            <w:r>
              <w:t>GV-05</w:t>
            </w:r>
          </w:p>
        </w:tc>
      </w:tr>
      <w:tr>
        <w:tc>
          <w:tcPr>
            <w:tcW w:type="dxa" w:w="4824"/>
          </w:tcPr>
          <w:p>
            <w:r/>
            <w:r>
              <w:t>EIPD y registros de transferencia</w:t>
            </w:r>
          </w:p>
        </w:tc>
        <w:tc>
          <w:tcPr>
            <w:tcW w:type="dxa" w:w="4824"/>
          </w:tcPr>
          <w:p>
            <w:r/>
            <w:r>
              <w:t>POL-20</w:t>
            </w:r>
          </w:p>
        </w:tc>
      </w:tr>
      <w:tr>
        <w:tc>
          <w:tcPr>
            <w:tcW w:type="dxa" w:w="4824"/>
          </w:tcPr>
          <w:p>
            <w:r/>
            <w:r>
              <w:t>Configuración y auditoría de nube</w:t>
            </w:r>
          </w:p>
        </w:tc>
        <w:tc>
          <w:tcPr>
            <w:tcW w:type="dxa" w:w="4824"/>
          </w:tcPr>
          <w:p>
            <w:r/>
            <w:r>
              <w:t>PR-08</w:t>
            </w:r>
          </w:p>
        </w:tc>
      </w:tr>
      <w:tr>
        <w:tc>
          <w:tcPr>
            <w:tcW w:type="dxa" w:w="4824"/>
          </w:tcPr>
          <w:p>
            <w:r/>
            <w:r>
              <w:t>Plan de salida</w:t>
            </w:r>
          </w:p>
        </w:tc>
        <w:tc>
          <w:tcPr>
            <w:tcW w:type="dxa" w:w="4824"/>
          </w:tcPr>
          <w:p>
            <w:r/>
            <w:r>
              <w:t>GV-05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