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POL-20 · Política de Protección de Datos Personales</w:t>
      </w:r>
    </w:p>
    <w:p>
      <w:pPr>
        <w:ind w:left="432"/>
      </w:pPr>
      <w:r>
        <w:rPr>
          <w:i/>
          <w:color w:val="606060"/>
        </w:rPr>
        <w:t>**Función del MCU 5.0:** Cumplimiento normativo (CN) · Protección de datos personales (PD.1 … PD.8) — dominio transversal completo</w:t>
      </w:r>
    </w:p>
    <w:p>
      <w:pPr>
        <w:ind w:left="432"/>
      </w:pPr>
      <w:r>
        <w:rPr>
          <w:i/>
          <w:color w:val="606060"/>
        </w:rPr>
        <w:t>**ISO/IEC 27001:** A.5.34 (protección de datos personales) · A.5.35 (revisión) · A.5.31-A.5.32 (requisitos legales)</w:t>
      </w:r>
    </w:p>
    <w:p>
      <w:pPr>
        <w:ind w:left="432"/>
      </w:pPr>
      <w:r>
        <w:rPr>
          <w:i/>
          <w:color w:val="606060"/>
        </w:rPr>
        <w:t>**BCU:** EMG — gobierno de la información y protección de los datos de clientes</w:t>
      </w:r>
    </w:p>
    <w:p>
      <w:pPr>
        <w:ind w:left="432"/>
      </w:pPr>
      <w:r>
        <w:rPr>
          <w:i/>
          <w:color w:val="606060"/>
        </w:rPr>
        <w:t>**URCDP:** Ley 18.331, Decreto 414/009, Decreto 64/020, Ley 19.670 — marco central de protección de datos personales en Uruguay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Protección de Datos Personales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DPD + 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Comité de Datos · Legales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Dirección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Garantizar que todo </w:t>
      </w:r>
      <w:r>
        <w:rPr>
          <w:b/>
        </w:rPr>
        <w:t>tratamiento de datos personales</w:t>
      </w:r>
      <w:r>
        <w:t xml:space="preserve"> realizado por el Banco respete la </w:t>
      </w:r>
      <w:r>
        <w:rPr>
          <w:b/>
        </w:rPr>
        <w:t>Ley 18.331</w:t>
      </w:r>
      <w:r>
        <w:t xml:space="preserve"> y su reglamentación, y los requisitos </w:t>
      </w:r>
      <w:r>
        <w:rPr>
          <w:b/>
        </w:rPr>
        <w:t>PD.1-PD.8</w:t>
      </w:r>
      <w:r>
        <w:t xml:space="preserve"> del MCU 5.0, protegiendo los derechos de los titulares.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 dato personal tratado por el Banco: clientes, empleados, proveedores, visitantes y terceros, en cualquier formato y por cualquier medio (sistemas, papel, correo, nube, IA, terceros).</w:t>
      </w:r>
    </w:p>
    <w:p>
      <w:pPr>
        <w:pStyle w:val="Heading3"/>
      </w:pPr>
      <w:r>
        <w:rPr>
          <w:color w:val="1F3B63"/>
        </w:rPr>
        <w:t>3. Principios del tratamiento (Ley 18.331 art. 9 y MCU 5.0 PD)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Principio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Requisito PD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implica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Legalidad</w:t>
            </w:r>
          </w:p>
        </w:tc>
        <w:tc>
          <w:tcPr>
            <w:tcW w:type="dxa" w:w="3216"/>
          </w:tcPr>
          <w:p>
            <w:r/>
            <w:r>
              <w:t>PD.1</w:t>
            </w:r>
          </w:p>
        </w:tc>
        <w:tc>
          <w:tcPr>
            <w:tcW w:type="dxa" w:w="3216"/>
          </w:tcPr>
          <w:p>
            <w:r/>
            <w:r>
              <w:t>Toda base de datos se ampara en una base legal (consentimiento, ley, contrato)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Veracidad / calidad</w:t>
            </w:r>
          </w:p>
        </w:tc>
        <w:tc>
          <w:tcPr>
            <w:tcW w:type="dxa" w:w="3216"/>
          </w:tcPr>
          <w:p>
            <w:r/>
            <w:r>
              <w:t>PD.2</w:t>
            </w:r>
          </w:p>
        </w:tc>
        <w:tc>
          <w:tcPr>
            <w:tcW w:type="dxa" w:w="3216"/>
          </w:tcPr>
          <w:p>
            <w:r/>
            <w:r>
              <w:t>Los datos son exactos, completos y actualizados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Finalidad</w:t>
            </w:r>
          </w:p>
        </w:tc>
        <w:tc>
          <w:tcPr>
            <w:tcW w:type="dxa" w:w="3216"/>
          </w:tcPr>
          <w:p>
            <w:r/>
            <w:r>
              <w:t>PD.3</w:t>
            </w:r>
          </w:p>
        </w:tc>
        <w:tc>
          <w:tcPr>
            <w:tcW w:type="dxa" w:w="3216"/>
          </w:tcPr>
          <w:p>
            <w:r/>
            <w:r>
              <w:t>Los datos se usan solo para la finalidad declarada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Consentimiento</w:t>
            </w:r>
          </w:p>
        </w:tc>
        <w:tc>
          <w:tcPr>
            <w:tcW w:type="dxa" w:w="3216"/>
          </w:tcPr>
          <w:p>
            <w:r/>
            <w:r>
              <w:t>PD.4</w:t>
            </w:r>
          </w:p>
        </w:tc>
        <w:tc>
          <w:tcPr>
            <w:tcW w:type="dxa" w:w="3216"/>
          </w:tcPr>
          <w:p>
            <w:r/>
            <w:r>
              <w:t>Previo, expreso, informado y revocable (Decreto 414/009); refuerzo para datos sensibles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Seguridad</w:t>
            </w:r>
          </w:p>
        </w:tc>
        <w:tc>
          <w:tcPr>
            <w:tcW w:type="dxa" w:w="3216"/>
          </w:tcPr>
          <w:p>
            <w:r/>
            <w:r>
              <w:t>PD.5</w:t>
            </w:r>
          </w:p>
        </w:tc>
        <w:tc>
          <w:tcPr>
            <w:tcW w:type="dxa" w:w="3216"/>
          </w:tcPr>
          <w:p>
            <w:r/>
            <w:r>
              <w:t>Medidas técnicas y organizativas; notificación de vulneraciones en 72 h (Decreto 64/020)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Reserva</w:t>
            </w:r>
          </w:p>
        </w:tc>
        <w:tc>
          <w:tcPr>
            <w:tcW w:type="dxa" w:w="3216"/>
          </w:tcPr>
          <w:p>
            <w:r/>
            <w:r>
              <w:t>PD.6</w:t>
            </w:r>
          </w:p>
        </w:tc>
        <w:tc>
          <w:tcPr>
            <w:tcW w:type="dxa" w:w="3216"/>
          </w:tcPr>
          <w:p>
            <w:r/>
            <w:r>
              <w:t>Confidencialidad de quienes tratan datos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Responsabilidad proactiva</w:t>
            </w:r>
          </w:p>
        </w:tc>
        <w:tc>
          <w:tcPr>
            <w:tcW w:type="dxa" w:w="3216"/>
          </w:tcPr>
          <w:p>
            <w:r/>
            <w:r>
              <w:t>PD.7</w:t>
            </w:r>
          </w:p>
        </w:tc>
        <w:tc>
          <w:tcPr>
            <w:tcW w:type="dxa" w:w="3216"/>
          </w:tcPr>
          <w:p>
            <w:r/>
            <w:r>
              <w:t>EIPD y privacidad por diseño (Ley 19.670)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Derechos del titular</w:t>
            </w:r>
          </w:p>
        </w:tc>
        <w:tc>
          <w:tcPr>
            <w:tcW w:type="dxa" w:w="3216"/>
          </w:tcPr>
          <w:p>
            <w:r/>
            <w:r>
              <w:t>PD.8</w:t>
            </w:r>
          </w:p>
        </w:tc>
        <w:tc>
          <w:tcPr>
            <w:tcW w:type="dxa" w:w="3216"/>
          </w:tcPr>
          <w:p>
            <w:r/>
            <w:r>
              <w:t>Información, acceso, rectificación, inclusión, supresión, impugnación; respuesta en plazos legales</w:t>
            </w:r>
          </w:p>
        </w:tc>
      </w:tr>
    </w:tbl>
    <w:p>
      <w:pPr>
        <w:pStyle w:val="Heading3"/>
      </w:pPr>
      <w:r>
        <w:rPr>
          <w:color w:val="1F3B63"/>
        </w:rPr>
        <w:t>4. Reglas obligatorias</w:t>
      </w:r>
    </w:p>
    <w:p>
      <w:pPr>
        <w:pStyle w:val="ListBullet"/>
      </w:pPr>
      <w:r>
        <w:rPr>
          <w:b/>
        </w:rPr>
        <w:t>Registro de bases de datos</w:t>
      </w:r>
      <w:r>
        <w:t>: se mantiene el registro de tratamientos (Ley 18.331 art. 22) y se inscribe ante la URCDP cuando corresponde.</w:t>
      </w:r>
    </w:p>
    <w:p>
      <w:pPr>
        <w:pStyle w:val="ListBullet"/>
      </w:pPr>
      <w:r>
        <w:rPr>
          <w:b/>
        </w:rPr>
        <w:t>Consentimiento</w:t>
      </w:r>
      <w:r>
        <w:t>: se obtiene, se documenta y se puede revocar; para datos sensibles el tratamiento es restringido (Decreto 414/009).</w:t>
      </w:r>
    </w:p>
    <w:p>
      <w:pPr>
        <w:pStyle w:val="ListBullet"/>
      </w:pPr>
      <w:r>
        <w:rPr>
          <w:b/>
        </w:rPr>
        <w:t>Minimización</w:t>
      </w:r>
      <w:r>
        <w:t xml:space="preserve">: se recoge solo lo necesario; en pruebas y en IA se usa </w:t>
      </w:r>
      <w:r>
        <w:rPr>
          <w:b/>
        </w:rPr>
        <w:t>anonimización</w:t>
      </w:r>
      <w:r>
        <w:t xml:space="preserve"> (POL-17, curso AISEC-06).</w:t>
      </w:r>
    </w:p>
    <w:p>
      <w:pPr>
        <w:pStyle w:val="ListBullet"/>
      </w:pPr>
      <w:r>
        <w:rPr>
          <w:b/>
        </w:rPr>
        <w:t>Derechos (ARCO)</w:t>
      </w:r>
      <w:r>
        <w:t>: el Banco responde los pedidos en los plazos legales (5 días hábiles según el Decreto 414/009, según el caso) con procedimiento definido (PRO-09/PCS-08).</w:t>
      </w:r>
    </w:p>
    <w:p>
      <w:pPr>
        <w:pStyle w:val="ListBullet"/>
      </w:pPr>
      <w:r>
        <w:rPr>
          <w:b/>
        </w:rPr>
        <w:t>Seguridad</w:t>
      </w:r>
      <w:r>
        <w:t>: los datos se protegen con los controles de todas las políticas del kit (accesos, cifrado, respaldos, monitoreo).</w:t>
      </w:r>
    </w:p>
    <w:p>
      <w:pPr>
        <w:pStyle w:val="ListBullet"/>
      </w:pPr>
      <w:r>
        <w:rPr>
          <w:b/>
        </w:rPr>
        <w:t>Incidentes</w:t>
      </w:r>
      <w:r>
        <w:t xml:space="preserve">: toda vulneración se notifica a la URCDP en </w:t>
      </w:r>
      <w:r>
        <w:rPr>
          <w:b/>
        </w:rPr>
        <w:t>72 horas</w:t>
      </w:r>
      <w:r>
        <w:t xml:space="preserve"> cuando haya riesgo para los titulares (PRO-05).</w:t>
      </w:r>
    </w:p>
    <w:p>
      <w:pPr>
        <w:pStyle w:val="ListBullet"/>
      </w:pPr>
      <w:r>
        <w:rPr>
          <w:b/>
        </w:rPr>
        <w:t>Terceros</w:t>
      </w:r>
      <w:r>
        <w:t>: los encargados de tratamiento firman acuerdo y cumplen las garantías (POL-11).</w:t>
      </w:r>
    </w:p>
    <w:p>
      <w:pPr>
        <w:pStyle w:val="ListBullet"/>
      </w:pPr>
      <w:r>
        <w:rPr>
          <w:b/>
        </w:rPr>
        <w:t>Transferencias internacionales</w:t>
      </w:r>
      <w:r>
        <w:t>: se verifican las condiciones legales antes de enviar datos al exterior (POL-19, nube).</w:t>
      </w:r>
    </w:p>
    <w:p>
      <w:pPr>
        <w:pStyle w:val="ListBullet"/>
      </w:pPr>
      <w:r>
        <w:rPr>
          <w:b/>
        </w:rPr>
        <w:t>IA</w:t>
      </w:r>
      <w:r>
        <w:t>: las herramientas que tratan datos personales se rigen por la POL-17 y el curso AISEC.</w:t>
      </w:r>
    </w:p>
    <w:p>
      <w:pPr>
        <w:pStyle w:val="Heading3"/>
      </w:pPr>
      <w:r>
        <w:rPr>
          <w:color w:val="1F3B63"/>
        </w:rPr>
        <w:t>5. Responsabilidades</w:t>
      </w:r>
    </w:p>
    <w:p>
      <w:pPr>
        <w:pStyle w:val="ListBullet"/>
      </w:pPr>
      <w:r>
        <w:rPr>
          <w:b/>
        </w:rPr>
        <w:t>DPD</w:t>
      </w:r>
      <w:r>
        <w:t>: supervisa el cumplimiento, atiende a la URCDP, impulsa EIPD.</w:t>
      </w:r>
    </w:p>
    <w:p>
      <w:pPr>
        <w:pStyle w:val="ListBullet"/>
      </w:pPr>
      <w:r>
        <w:rPr>
          <w:b/>
        </w:rPr>
        <w:t>RSI</w:t>
      </w:r>
      <w:r>
        <w:t>: implementa los controles de seguridad.</w:t>
      </w:r>
    </w:p>
    <w:p>
      <w:pPr>
        <w:pStyle w:val="ListBullet"/>
      </w:pPr>
      <w:r>
        <w:rPr>
          <w:b/>
        </w:rPr>
        <w:t>Dueños de bases</w:t>
      </w:r>
      <w:r>
        <w:t>: aseguran la calidad y finalidad de sus tratamientos.</w:t>
      </w:r>
    </w:p>
    <w:p>
      <w:pPr>
        <w:pStyle w:val="ListBullet"/>
      </w:pPr>
      <w:r>
        <w:rPr>
          <w:b/>
        </w:rPr>
        <w:t>Todo el personal</w:t>
      </w:r>
      <w:r>
        <w:t>: cumple los principios y reporta incidentes.</w:t>
      </w:r>
    </w:p>
    <w:p>
      <w:pPr>
        <w:pStyle w:val="Heading3"/>
      </w:pPr>
      <w:r>
        <w:rPr>
          <w:color w:val="1F3B63"/>
        </w:rPr>
        <w:t>6. Cumplimiento y revisión</w:t>
      </w:r>
    </w:p>
    <w:p>
      <w:r>
        <w:t>El incumplimiento expone al Banco a sanciones de la URCDP (Ley 18.331 art. 39). Revisión anual de la política y del inventario de tratamientos; EIPD ante nuevos usos.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Inventario de bases y tratamientos</w:t>
            </w:r>
          </w:p>
        </w:tc>
        <w:tc>
          <w:tcPr>
            <w:tcW w:type="dxa" w:w="4824"/>
          </w:tcPr>
          <w:p>
            <w:r/>
            <w:r>
              <w:t>URCDP-01</w:t>
            </w:r>
          </w:p>
        </w:tc>
      </w:tr>
      <w:tr>
        <w:tc>
          <w:tcPr>
            <w:tcW w:type="dxa" w:w="4824"/>
          </w:tcPr>
          <w:p>
            <w:r/>
            <w:r>
              <w:t>Registro ante la URCDP</w:t>
            </w:r>
          </w:p>
        </w:tc>
        <w:tc>
          <w:tcPr>
            <w:tcW w:type="dxa" w:w="4824"/>
          </w:tcPr>
          <w:p>
            <w:r/>
            <w:r>
              <w:t>URCDP-02</w:t>
            </w:r>
          </w:p>
        </w:tc>
      </w:tr>
      <w:tr>
        <w:tc>
          <w:tcPr>
            <w:tcW w:type="dxa" w:w="4824"/>
          </w:tcPr>
          <w:p>
            <w:r/>
            <w:r>
              <w:t>Procedimiento de derechos ARCO</w:t>
            </w:r>
          </w:p>
        </w:tc>
        <w:tc>
          <w:tcPr>
            <w:tcW w:type="dxa" w:w="4824"/>
          </w:tcPr>
          <w:p>
            <w:r/>
            <w:r>
              <w:t>PRO-09</w:t>
            </w:r>
          </w:p>
        </w:tc>
      </w:tr>
      <w:tr>
        <w:tc>
          <w:tcPr>
            <w:tcW w:type="dxa" w:w="4824"/>
          </w:tcPr>
          <w:p>
            <w:r/>
            <w:r>
              <w:t>Procedimiento de notificación</w:t>
            </w:r>
          </w:p>
        </w:tc>
        <w:tc>
          <w:tcPr>
            <w:tcW w:type="dxa" w:w="4824"/>
          </w:tcPr>
          <w:p>
            <w:r/>
            <w:r>
              <w:t>PRO-05</w:t>
            </w:r>
          </w:p>
        </w:tc>
      </w:tr>
      <w:tr>
        <w:tc>
          <w:tcPr>
            <w:tcW w:type="dxa" w:w="4824"/>
          </w:tcPr>
          <w:p>
            <w:r/>
            <w:r>
              <w:t>EIPD</w:t>
            </w:r>
          </w:p>
        </w:tc>
        <w:tc>
          <w:tcPr>
            <w:tcW w:type="dxa" w:w="4824"/>
          </w:tcPr>
          <w:p>
            <w:r/>
            <w:r>
              <w:t>URCDP-04</w:t>
            </w:r>
          </w:p>
        </w:tc>
      </w:tr>
      <w:tr>
        <w:tc>
          <w:tcPr>
            <w:tcW w:type="dxa" w:w="4824"/>
          </w:tcPr>
          <w:p>
            <w:r/>
            <w:r>
              <w:t>Acuerdos de encargado de tratamiento</w:t>
            </w:r>
          </w:p>
        </w:tc>
        <w:tc>
          <w:tcPr>
            <w:tcW w:type="dxa" w:w="4824"/>
          </w:tcPr>
          <w:p>
            <w:r/>
            <w:r>
              <w:t>POL-11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