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PRO-01 · Procedimiento: Alta, Modificación y Baja de Usuarios</w:t>
      </w:r>
    </w:p>
    <w:p>
      <w:pPr>
        <w:ind w:left="432"/>
      </w:pPr>
      <w:r>
        <w:rPr>
          <w:i/>
          <w:color w:val="606060"/>
        </w:rPr>
        <w:t>**Función del MCU 5.0:** Proteger (PR.AC — gestión de identidades y accesos)</w:t>
      </w:r>
    </w:p>
    <w:p>
      <w:pPr>
        <w:ind w:left="432"/>
      </w:pPr>
      <w:r>
        <w:rPr>
          <w:i/>
          <w:color w:val="606060"/>
        </w:rPr>
        <w:t>**ISO/IEC 27001:** A.8.2 (asignación de derechos de acceso) · A.8.4 (alta de cuentas) · A.8.5 (retiro)</w:t>
      </w:r>
    </w:p>
    <w:p>
      <w:pPr>
        <w:ind w:left="432"/>
      </w:pPr>
      <w:r>
        <w:rPr>
          <w:i/>
          <w:color w:val="606060"/>
        </w:rPr>
        <w:t>**BCU:** EMG — gestión de accesos como control de riesgo de TIC</w:t>
      </w:r>
    </w:p>
    <w:p>
      <w:pPr>
        <w:ind w:left="432"/>
      </w:pPr>
      <w:r>
        <w:rPr>
          <w:i/>
          <w:color w:val="606060"/>
        </w:rPr>
        <w:t>**URCDP:** Ley 18.331 art. 10 — trazabilidad de quién accede a datos personales</w:t>
      </w:r>
    </w:p>
    <w:p>
      <w:pPr>
        <w:ind w:left="432"/>
      </w:pPr>
      <w:r>
        <w:rPr>
          <w:i/>
          <w:color w:val="606060"/>
        </w:rPr>
        <w:t>**Nivel del curso:** 🔴 Dominar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Objetivo y alcance</w:t>
      </w:r>
    </w:p>
    <w:p>
      <w:r>
        <w:t>Estandarizar la creación, modificación y eliminación de cuentas de usuario en los sistemas del Banco, garantizando autorización previa y trazabilidad. Aplica a todo el personal, contratistas y proveedores.</w:t>
      </w:r>
    </w:p>
    <w:p>
      <w:pPr>
        <w:pStyle w:val="Heading2"/>
      </w:pPr>
      <w:r>
        <w:rPr>
          <w:color w:val="1F3B63"/>
        </w:rPr>
        <w:t>2. Responsables</w:t>
      </w:r>
    </w:p>
    <w:p>
      <w:pPr>
        <w:pStyle w:val="ListBullet"/>
      </w:pPr>
      <w:r>
        <w:rPr>
          <w:b/>
        </w:rPr>
        <w:t>Solicitante</w:t>
      </w:r>
      <w:r>
        <w:t xml:space="preserve"> (jefe de área): inicia la solicitud.</w:t>
      </w:r>
    </w:p>
    <w:p>
      <w:pPr>
        <w:pStyle w:val="ListBullet"/>
      </w:pPr>
      <w:r>
        <w:rPr>
          <w:b/>
        </w:rPr>
        <w:t>Div. TI (Administración de cuentas)</w:t>
      </w:r>
      <w:r>
        <w:t>: ejecuta el alta/modificación/baja.</w:t>
      </w:r>
    </w:p>
    <w:p>
      <w:pPr>
        <w:pStyle w:val="ListBullet"/>
      </w:pPr>
      <w:r>
        <w:rPr>
          <w:b/>
        </w:rPr>
        <w:t>RSI</w:t>
      </w:r>
      <w:r>
        <w:t>: revisa y audita; aprueba cuentas privilegiadas.</w:t>
      </w:r>
    </w:p>
    <w:p>
      <w:pPr>
        <w:pStyle w:val="ListBullet"/>
      </w:pPr>
      <w:r>
        <w:rPr>
          <w:b/>
        </w:rPr>
        <w:t>RRHH</w:t>
      </w:r>
      <w:r>
        <w:t>: informa ingresos y egresos (PRO-08).</w:t>
      </w:r>
    </w:p>
    <w:p>
      <w:pPr>
        <w:pStyle w:val="Heading2"/>
      </w:pPr>
      <w:r>
        <w:rPr>
          <w:color w:val="1F3B63"/>
        </w:rPr>
        <w:t>3. Entradas</w:t>
      </w:r>
    </w:p>
    <w:p>
      <w:pPr>
        <w:pStyle w:val="ListBullet"/>
      </w:pPr>
      <w:r>
        <w:t>Solicitud de acceso aprobada (formulario/ticket).</w:t>
      </w:r>
    </w:p>
    <w:p>
      <w:pPr>
        <w:pStyle w:val="ListBullet"/>
      </w:pPr>
      <w:r>
        <w:t>Documento de identificación del solicitante.</w:t>
      </w:r>
    </w:p>
    <w:p>
      <w:pPr>
        <w:pStyle w:val="ListBullet"/>
      </w:pPr>
      <w:r>
        <w:t>Perfil de rol (qué sistemas y permisos).</w:t>
      </w:r>
    </w:p>
    <w:p>
      <w:pPr>
        <w:pStyle w:val="ListBullet"/>
      </w:pPr>
      <w:r>
        <w:t>Datos de ingreso/egreso de RRHH.</w:t>
      </w:r>
    </w:p>
    <w:p>
      <w:pPr>
        <w:pStyle w:val="Heading2"/>
      </w:pPr>
      <w:r>
        <w:rPr>
          <w:color w:val="1F3B63"/>
        </w:rPr>
        <w:t>4. Desarrollo paso a paso</w:t>
      </w:r>
    </w:p>
    <w:p>
      <w:pPr>
        <w:pStyle w:val="Heading3"/>
      </w:pPr>
      <w:r>
        <w:rPr>
          <w:color w:val="1F3B63"/>
        </w:rPr>
        <w:t>4.1 Alta de usuario</w:t>
      </w:r>
    </w:p>
    <w:p>
      <w:pPr>
        <w:pStyle w:val="ListNumber"/>
      </w:pPr>
      <w:r>
        <w:t xml:space="preserve">El </w:t>
      </w:r>
      <w:r>
        <w:rPr>
          <w:b/>
        </w:rPr>
        <w:t>jefe de área</w:t>
      </w:r>
      <w:r>
        <w:t xml:space="preserve"> envía la solicitud con: nombre, cargo, sistemas necesarios y nivel de acceso.</w:t>
      </w:r>
    </w:p>
    <w:p>
      <w:pPr>
        <w:pStyle w:val="ListNumber"/>
      </w:pPr>
      <w:r>
        <w:rPr>
          <w:b/>
        </w:rPr>
        <w:t>RRHH</w:t>
      </w:r>
      <w:r>
        <w:t xml:space="preserve"> confirma el ingreso del colaborador.</w:t>
      </w:r>
    </w:p>
    <w:p>
      <w:pPr>
        <w:pStyle w:val="ListNumber"/>
      </w:pPr>
      <w:r>
        <w:rPr>
          <w:b/>
        </w:rPr>
        <w:t>Div. TI</w:t>
      </w:r>
      <w:r>
        <w:t xml:space="preserve"> verifica que la solicitud esté completa y aprobada.</w:t>
      </w:r>
    </w:p>
    <w:p>
      <w:pPr>
        <w:pStyle w:val="ListNumber"/>
      </w:pPr>
      <w:r>
        <w:rPr>
          <w:b/>
        </w:rPr>
        <w:t>Div. TI</w:t>
      </w:r>
      <w:r>
        <w:t xml:space="preserve"> crea la cuenta en el dominio/sistemas con el </w:t>
      </w:r>
      <w:r>
        <w:rPr>
          <w:b/>
        </w:rPr>
        <w:t>mínimo privilegio</w:t>
      </w:r>
      <w:r>
        <w:t xml:space="preserve"> según el rol.</w:t>
      </w:r>
    </w:p>
    <w:p>
      <w:pPr>
        <w:pStyle w:val="ListNumber"/>
      </w:pPr>
      <w:r>
        <w:rPr>
          <w:b/>
        </w:rPr>
        <w:t>Div. TI</w:t>
      </w:r>
      <w:r>
        <w:t xml:space="preserve"> entrega credenciales iniciales y activa MFA (si aplica).</w:t>
      </w:r>
    </w:p>
    <w:p>
      <w:pPr>
        <w:pStyle w:val="ListNumber"/>
      </w:pPr>
      <w:r>
        <w:rPr>
          <w:b/>
        </w:rPr>
        <w:t>RSI</w:t>
      </w:r>
      <w:r>
        <w:t xml:space="preserve"> verifica que los permisos coincidan con la solicitud y registra.</w:t>
      </w:r>
    </w:p>
    <w:p>
      <w:pPr>
        <w:pStyle w:val="ListNumber"/>
      </w:pPr>
      <w:r>
        <w:rPr>
          <w:b/>
        </w:rPr>
        <w:t>Registrar</w:t>
      </w:r>
      <w:r>
        <w:t>: fecha, usuario, sistemas, permisos, quién aprobó.</w:t>
      </w:r>
    </w:p>
    <w:p>
      <w:pPr>
        <w:pStyle w:val="Heading3"/>
      </w:pPr>
      <w:r>
        <w:rPr>
          <w:color w:val="1F3B63"/>
        </w:rPr>
        <w:t>4.2 Modificación de accesos</w:t>
      </w:r>
    </w:p>
    <w:p>
      <w:pPr>
        <w:pStyle w:val="ListNumber"/>
      </w:pPr>
      <w:r>
        <w:t xml:space="preserve">El </w:t>
      </w:r>
      <w:r>
        <w:rPr>
          <w:b/>
        </w:rPr>
        <w:t>jefe de área</w:t>
      </w:r>
      <w:r>
        <w:t xml:space="preserve"> solicita el cambio de rol/permisos (promoción, cambio de función).</w:t>
      </w:r>
    </w:p>
    <w:p>
      <w:pPr>
        <w:pStyle w:val="ListNumber"/>
      </w:pPr>
      <w:r>
        <w:rPr>
          <w:b/>
        </w:rPr>
        <w:t>Div. TI</w:t>
      </w:r>
      <w:r>
        <w:t xml:space="preserve"> revoca o agrega accesos según la nueva función.</w:t>
      </w:r>
    </w:p>
    <w:p>
      <w:pPr>
        <w:pStyle w:val="ListNumber"/>
      </w:pPr>
      <w:r>
        <w:rPr>
          <w:b/>
        </w:rPr>
        <w:t>RSI</w:t>
      </w:r>
      <w:r>
        <w:t xml:space="preserve"> revisa los cambios de privilegios (especialmente administrativos).</w:t>
      </w:r>
    </w:p>
    <w:p>
      <w:pPr>
        <w:pStyle w:val="ListNumber"/>
      </w:pPr>
      <w:r>
        <w:rPr>
          <w:b/>
        </w:rPr>
        <w:t>Registrar</w:t>
      </w:r>
      <w:r>
        <w:t xml:space="preserve"> la modificación con fecha y motivo.</w:t>
      </w:r>
    </w:p>
    <w:p>
      <w:pPr>
        <w:pStyle w:val="Heading3"/>
      </w:pPr>
      <w:r>
        <w:rPr>
          <w:color w:val="1F3B63"/>
        </w:rPr>
        <w:t>4.3 Baja de usuario</w:t>
      </w:r>
    </w:p>
    <w:p>
      <w:pPr>
        <w:pStyle w:val="ListNumber"/>
      </w:pPr>
      <w:r>
        <w:rPr>
          <w:b/>
        </w:rPr>
        <w:t>RRHH</w:t>
      </w:r>
      <w:r>
        <w:t xml:space="preserve"> notifica el egreso (dimisión, despido, cese de contrato) con antelación y confidencialidad.</w:t>
      </w:r>
    </w:p>
    <w:p>
      <w:pPr>
        <w:pStyle w:val="ListNumber"/>
      </w:pPr>
      <w:r>
        <w:rPr>
          <w:b/>
        </w:rPr>
        <w:t>Div. TI revoca todos los accesos de inmediato</w:t>
      </w:r>
      <w:r>
        <w:t xml:space="preserve"> (dominio, correo, sistemas, VPN, aplicaciones, nube).</w:t>
      </w:r>
    </w:p>
    <w:p>
      <w:pPr>
        <w:pStyle w:val="ListNumber"/>
      </w:pPr>
      <w:r>
        <w:rPr>
          <w:b/>
        </w:rPr>
        <w:t>Div. TI</w:t>
      </w:r>
      <w:r>
        <w:t xml:space="preserve"> deshabilita la cuenta (no se elimina de inmediato: se conserva para auditoría).</w:t>
      </w:r>
    </w:p>
    <w:p>
      <w:pPr>
        <w:pStyle w:val="ListNumber"/>
      </w:pPr>
      <w:r>
        <w:rPr>
          <w:b/>
        </w:rPr>
        <w:t>Seguridad Física</w:t>
      </w:r>
      <w:r>
        <w:t xml:space="preserve"> revoca tarjetas de acceso físico.</w:t>
      </w:r>
    </w:p>
    <w:p>
      <w:pPr>
        <w:pStyle w:val="ListNumber"/>
      </w:pPr>
      <w:r>
        <w:rPr>
          <w:b/>
        </w:rPr>
        <w:t>RSI</w:t>
      </w:r>
      <w:r>
        <w:t xml:space="preserve"> verifica que no queden accesos activos y registra la baja (PRO-08).</w:t>
      </w:r>
    </w:p>
    <w:p>
      <w:pPr>
        <w:pStyle w:val="Heading2"/>
      </w:pPr>
      <w:r>
        <w:rPr>
          <w:color w:val="1F3B63"/>
        </w:rPr>
        <w:t>5. Salidas y registros</w:t>
      </w:r>
    </w:p>
    <w:p>
      <w:pPr>
        <w:pStyle w:val="ListBullet"/>
      </w:pPr>
      <w:r>
        <w:t>Ticket de solicitud de acceso.</w:t>
      </w:r>
    </w:p>
    <w:p>
      <w:pPr>
        <w:pStyle w:val="ListBullet"/>
      </w:pPr>
      <w:r>
        <w:t>Registro de cuentas creadas/modificadas/bajas.</w:t>
      </w:r>
    </w:p>
    <w:p>
      <w:pPr>
        <w:pStyle w:val="ListBullet"/>
      </w:pPr>
      <w:r>
        <w:t>Bitácora de verificación del RSI.</w:t>
      </w:r>
    </w:p>
    <w:p>
      <w:pPr>
        <w:pStyle w:val="ListBullet"/>
      </w:pPr>
      <w:r>
        <w:t>Notificación de baja (PRO-08).</w:t>
      </w:r>
    </w:p>
    <w:p>
      <w:pPr>
        <w:pStyle w:val="Heading2"/>
      </w:pPr>
      <w:r>
        <w:rPr>
          <w:color w:val="1F3B63"/>
        </w:rPr>
        <w:t>6. Errores comunes a evitar</w:t>
      </w:r>
    </w:p>
    <w:p>
      <w:pPr>
        <w:pStyle w:val="ListBullet"/>
      </w:pPr>
      <w:r>
        <w:t>Otorgar acceso sin solicitud aprobada.</w:t>
      </w:r>
    </w:p>
    <w:p>
      <w:pPr>
        <w:pStyle w:val="ListBullet"/>
      </w:pPr>
      <w:r>
        <w:t>Otorgar más privilegios de los necesarios.</w:t>
      </w:r>
    </w:p>
    <w:p>
      <w:pPr>
        <w:pStyle w:val="ListBullet"/>
      </w:pPr>
      <w:r>
        <w:t>No revocar accesos en la baja (causa frecuente de incidentes).</w:t>
      </w:r>
    </w:p>
    <w:p>
      <w:pPr>
        <w:pStyle w:val="ListBullet"/>
      </w:pPr>
      <w:r>
        <w:t>Compartir cuentas para "agilizar" el trabajo.</w:t>
      </w:r>
    </w:p>
    <w:p>
      <w:pPr>
        <w:pStyle w:val="Heading2"/>
      </w:pPr>
      <w:r>
        <w:rPr>
          <w:color w:val="1F3B63"/>
        </w:rPr>
        <w:t>7. Referencias</w:t>
      </w:r>
    </w:p>
    <w:p>
      <w:pPr>
        <w:pStyle w:val="ListBullet"/>
      </w:pPr>
      <w:r>
        <w:t>POL-04 (Gestión de Accesos y Privilegios) · PCS-04 (Proceso de accesos) · POL-10 · PRO-08.</w:t>
      </w:r>
    </w:p>
    <w:p>
      <w:pPr>
        <w:pStyle w:val="Heading2"/>
      </w:pPr>
      <w:r>
        <w:rPr>
          <w:color w:val="1F3B63"/>
        </w:rPr>
        <w:t>8. Evidencia</w:t>
      </w:r>
    </w:p>
    <w:p>
      <w:r>
        <w:t>Solicitudes aprobadas, registro de altas/bajas, verificación del RSI. Alimenta: PR-01, GV-02, auditorías de accesos.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