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PRO-03 · Procedimiento: Configuración Segura de Estaciones y Servidores (Hardening)</w:t>
      </w:r>
    </w:p>
    <w:p>
      <w:pPr>
        <w:ind w:left="432"/>
      </w:pPr>
      <w:r>
        <w:rPr>
          <w:i/>
          <w:color w:val="606060"/>
        </w:rPr>
        <w:t>**Función del MCU 5.0:** Proteger (PR.AC — configuración; PR.IP — líneas base de configuración)</w:t>
      </w:r>
    </w:p>
    <w:p>
      <w:pPr>
        <w:ind w:left="432"/>
      </w:pPr>
      <w:r>
        <w:rPr>
          <w:i/>
          <w:color w:val="606060"/>
        </w:rPr>
        <w:t>**ISO/IEC 27001:** A.8.9 (gestión de configuración) · A.8.10 (borrado seguro) · A.8.17-A.8.20 (protección del ciclo de vida de los sistemas)</w:t>
      </w:r>
    </w:p>
    <w:p>
      <w:pPr>
        <w:ind w:left="432"/>
      </w:pPr>
      <w:r>
        <w:rPr>
          <w:i/>
          <w:color w:val="606060"/>
        </w:rPr>
        <w:t>**BCU:** EMG — configuración segura y gestión de vulnerabilidades</w:t>
      </w:r>
    </w:p>
    <w:p>
      <w:pPr>
        <w:ind w:left="432"/>
      </w:pPr>
      <w:r>
        <w:rPr>
          <w:i/>
          <w:color w:val="606060"/>
        </w:rPr>
        <w:t>**URCDP:** Ley 18.331 art. 10 — medidas técnicas para proteger datos personales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Aplicar una </w:t>
      </w:r>
      <w:r>
        <w:rPr>
          <w:b/>
        </w:rPr>
        <w:t>configuración de referencia segura</w:t>
      </w:r>
      <w:r>
        <w:t xml:space="preserve"> a estaciones de trabajo, notebooks, servidores, equipos de red y bases de datos, reduciendo la superficie de ataque. Aplica a todos los equipos del Banco, incluyendo el entorno de desarrollo de IA (curso AISEC).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Div. TI (Administración de sistemas)</w:t>
      </w:r>
      <w:r>
        <w:t>: implementa las líneas base.</w:t>
      </w:r>
    </w:p>
    <w:p>
      <w:pPr>
        <w:pStyle w:val="ListBullet"/>
      </w:pPr>
      <w:r>
        <w:rPr>
          <w:b/>
        </w:rPr>
        <w:t>RSI</w:t>
      </w:r>
      <w:r>
        <w:t>: define las líneas base, revisa y audita.</w:t>
      </w:r>
    </w:p>
    <w:p>
      <w:pPr>
        <w:pStyle w:val="ListBullet"/>
      </w:pPr>
      <w:r>
        <w:rPr>
          <w:b/>
        </w:rPr>
        <w:t>Seguridad de Red</w:t>
      </w:r>
      <w:r>
        <w:t xml:space="preserve"> (si aplica): equipos de red.</w:t>
      </w:r>
    </w:p>
    <w:p>
      <w:pPr>
        <w:pStyle w:val="Heading2"/>
      </w:pPr>
      <w:r>
        <w:rPr>
          <w:color w:val="1F3B63"/>
        </w:rPr>
        <w:t>3. Entradas</w:t>
      </w:r>
    </w:p>
    <w:p>
      <w:pPr>
        <w:pStyle w:val="ListBullet"/>
      </w:pPr>
      <w:r>
        <w:t>Línea base de configuración por tipo de equipo (basada en guías CIS o de fabricante, adaptada).</w:t>
      </w:r>
    </w:p>
    <w:p>
      <w:pPr>
        <w:pStyle w:val="ListBullet"/>
      </w:pPr>
      <w:r>
        <w:t>Inventario de equipos (POL-03, ID-01).</w:t>
      </w:r>
    </w:p>
    <w:p>
      <w:pPr>
        <w:pStyle w:val="ListBullet"/>
      </w:pPr>
      <w:r>
        <w:t>Procedimiento de gestión de vulnerabilidades (PRO-07).</w:t>
      </w:r>
    </w:p>
    <w:p>
      <w:pPr>
        <w:pStyle w:val="Heading2"/>
      </w:pPr>
      <w:r>
        <w:rPr>
          <w:color w:val="1F3B63"/>
        </w:rPr>
        <w:t>4. Línea base mínima de configuración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mínimo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Sistema operativo</w:t>
            </w:r>
          </w:p>
        </w:tc>
        <w:tc>
          <w:tcPr>
            <w:tcW w:type="dxa" w:w="4824"/>
          </w:tcPr>
          <w:p>
            <w:r/>
            <w:r>
              <w:t>Versiones soportadas y parcheadas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Cuentas locales</w:t>
            </w:r>
          </w:p>
        </w:tc>
        <w:tc>
          <w:tcPr>
            <w:tcW w:type="dxa" w:w="4824"/>
          </w:tcPr>
          <w:p>
            <w:r/>
            <w:r>
              <w:t>Deshabilitar invitado; contraseñas según POL-04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Servicios y puertos</w:t>
            </w:r>
          </w:p>
        </w:tc>
        <w:tc>
          <w:tcPr>
            <w:tcW w:type="dxa" w:w="4824"/>
          </w:tcPr>
          <w:p>
            <w:r/>
            <w:r>
              <w:t>Solo los necesarios; cerrar el resto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Antivirus/EDR</w:t>
            </w:r>
          </w:p>
        </w:tc>
        <w:tc>
          <w:tcPr>
            <w:tcW w:type="dxa" w:w="4824"/>
          </w:tcPr>
          <w:p>
            <w:r/>
            <w:r>
              <w:t>Instalado, activo y actualizado (POL-05)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Firewall local</w:t>
            </w:r>
          </w:p>
        </w:tc>
        <w:tc>
          <w:tcPr>
            <w:tcW w:type="dxa" w:w="4824"/>
          </w:tcPr>
          <w:p>
            <w:r/>
            <w:r>
              <w:t>Activo con reglas mínimas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Cifrado</w:t>
            </w:r>
          </w:p>
        </w:tc>
        <w:tc>
          <w:tcPr>
            <w:tcW w:type="dxa" w:w="4824"/>
          </w:tcPr>
          <w:p>
            <w:r/>
            <w:r>
              <w:t>Disco cifrado (POL-14)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Autenticación</w:t>
            </w:r>
          </w:p>
        </w:tc>
        <w:tc>
          <w:tcPr>
            <w:tcW w:type="dxa" w:w="4824"/>
          </w:tcPr>
          <w:p>
            <w:r/>
            <w:r>
              <w:t>Bloqueo de pantalla, MFA donde aplique (POL-04)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Registro de eventos</w:t>
            </w:r>
          </w:p>
        </w:tc>
        <w:tc>
          <w:tcPr>
            <w:tcW w:type="dxa" w:w="4824"/>
          </w:tcPr>
          <w:p>
            <w:r/>
            <w:r>
              <w:t>Activado y centralizado (POL-06)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Actualizaciones</w:t>
            </w:r>
          </w:p>
        </w:tc>
        <w:tc>
          <w:tcPr>
            <w:tcW w:type="dxa" w:w="4824"/>
          </w:tcPr>
          <w:p>
            <w:r/>
            <w:r>
              <w:t>Automáticas/repositorio controlado (POL-15)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Software no autorizado</w:t>
            </w:r>
          </w:p>
        </w:tc>
        <w:tc>
          <w:tcPr>
            <w:tcW w:type="dxa" w:w="4824"/>
          </w:tcPr>
          <w:p>
            <w:r/>
            <w:r>
              <w:t>Bloqueado por whitelist (POL-02)</w:t>
            </w:r>
          </w:p>
        </w:tc>
      </w:tr>
    </w:tbl>
    <w:p>
      <w:pPr>
        <w:pStyle w:val="Heading2"/>
      </w:pPr>
      <w:r>
        <w:rPr>
          <w:color w:val="1F3B63"/>
        </w:rPr>
        <w:t>5. Desarrollo paso a paso</w:t>
      </w:r>
    </w:p>
    <w:p>
      <w:pPr>
        <w:pStyle w:val="ListNumber"/>
      </w:pPr>
      <w:r>
        <w:rPr>
          <w:b/>
        </w:rPr>
        <w:t>RSI publica</w:t>
      </w:r>
      <w:r>
        <w:t xml:space="preserve"> la línea base vigente y su versión.</w:t>
      </w:r>
    </w:p>
    <w:p>
      <w:pPr>
        <w:pStyle w:val="ListNumber"/>
      </w:pPr>
      <w:r>
        <w:rPr>
          <w:b/>
        </w:rPr>
        <w:t>Div. TI aplica</w:t>
      </w:r>
      <w:r>
        <w:t xml:space="preserve"> la línea base en equipos nuevos y existentes (imagen estándar + política de configuración).</w:t>
      </w:r>
    </w:p>
    <w:p>
      <w:pPr>
        <w:pStyle w:val="ListNumber"/>
      </w:pPr>
      <w:r>
        <w:rPr>
          <w:b/>
        </w:rPr>
        <w:t>Div. TI registra</w:t>
      </w:r>
      <w:r>
        <w:t xml:space="preserve"> el equipo y su versión de configuración en el inventario.</w:t>
      </w:r>
    </w:p>
    <w:p>
      <w:pPr>
        <w:pStyle w:val="ListNumber"/>
      </w:pPr>
      <w:r>
        <w:rPr>
          <w:b/>
        </w:rPr>
        <w:t>RSI realiza</w:t>
      </w:r>
      <w:r>
        <w:t xml:space="preserve"> verificaciones técnicas (escaneo) y revisa desvíos.</w:t>
      </w:r>
    </w:p>
    <w:p>
      <w:pPr>
        <w:pStyle w:val="ListNumber"/>
      </w:pPr>
      <w:r>
        <w:t xml:space="preserve">Los desvíos justificados se aprueban como </w:t>
      </w:r>
      <w:r>
        <w:rPr>
          <w:b/>
        </w:rPr>
        <w:t>excepción temporal</w:t>
      </w:r>
      <w:r>
        <w:t xml:space="preserve"> con vigencia y responsable.</w:t>
      </w:r>
    </w:p>
    <w:p>
      <w:pPr>
        <w:pStyle w:val="ListNumber"/>
      </w:pPr>
      <w:r>
        <w:t xml:space="preserve">En el </w:t>
      </w:r>
      <w:r>
        <w:rPr>
          <w:b/>
        </w:rPr>
        <w:t>entorno de IA</w:t>
      </w:r>
      <w:r>
        <w:t xml:space="preserve"> (curso AISEC-07/AISEC-08), se endurece la configuración de modelos y servidores que los sirven.</w:t>
      </w:r>
    </w:p>
    <w:p>
      <w:pPr>
        <w:pStyle w:val="ListNumber"/>
      </w:pPr>
      <w:r>
        <w:rPr>
          <w:b/>
        </w:rPr>
        <w:t>Registrar</w:t>
      </w:r>
      <w:r>
        <w:t xml:space="preserve"> cualquier cambio a la línea base (control de cambios — POL-15).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Línea base de configuración (versión vigente).</w:t>
      </w:r>
    </w:p>
    <w:p>
      <w:pPr>
        <w:pStyle w:val="ListBullet"/>
      </w:pPr>
      <w:r>
        <w:t>Verificaciones y escaneos de hardening.</w:t>
      </w:r>
    </w:p>
    <w:p>
      <w:pPr>
        <w:pStyle w:val="ListBullet"/>
      </w:pPr>
      <w:r>
        <w:t>Registro de excepciones.</w:t>
      </w:r>
    </w:p>
    <w:p>
      <w:pPr>
        <w:pStyle w:val="ListBullet"/>
      </w:pPr>
      <w:r>
        <w:t>Reporte de cumplimiento periódico.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Aplicar la línea base "de memoria" sin documentarla.</w:t>
      </w:r>
    </w:p>
    <w:p>
      <w:pPr>
        <w:pStyle w:val="ListBullet"/>
      </w:pPr>
      <w:r>
        <w:t>No auditar los equipos viejos no alcanzados por la imagen.</w:t>
      </w:r>
    </w:p>
    <w:p>
      <w:pPr>
        <w:pStyle w:val="ListBullet"/>
      </w:pPr>
      <w:r>
        <w:t>Excepciones sin vencimiento.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POL-03 · POL-05 · POL-15 · PRO-07. Alimenta: PR-03 (configuración), ID-01, hallazgos de BCU.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