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1F3B63"/>
          <w:sz w:val="36"/>
        </w:rPr>
        <w:t>PRO-04 · Procedimiento: Respuesta ante Incidentes de Seguridad</w:t>
      </w:r>
    </w:p>
    <w:p>
      <w:pPr>
        <w:ind w:left="432"/>
      </w:pPr>
      <w:r>
        <w:rPr>
          <w:i/>
          <w:color w:val="606060"/>
        </w:rPr>
        <w:t>**Función del MCU 5.0:** Responder (RS.RP — respuesta) · Recuperar (RC.RP — recuperación)</w:t>
      </w:r>
    </w:p>
    <w:p>
      <w:pPr>
        <w:ind w:left="432"/>
      </w:pPr>
      <w:r>
        <w:rPr>
          <w:i/>
          <w:color w:val="606060"/>
        </w:rPr>
        <w:t>**ISO/IEC 27001:** A.5.24-A.5.28 (gestión de incidentes)</w:t>
      </w:r>
    </w:p>
    <w:p>
      <w:pPr>
        <w:ind w:left="432"/>
      </w:pPr>
      <w:r>
        <w:rPr>
          <w:i/>
          <w:color w:val="606060"/>
        </w:rPr>
        <w:t>**BCU:** EMG / RNRCSF — gestión de incidentes cibernéticos con reporte al supervisor</w:t>
      </w:r>
    </w:p>
    <w:p>
      <w:pPr>
        <w:ind w:left="432"/>
      </w:pPr>
      <w:r>
        <w:rPr>
          <w:i/>
          <w:color w:val="606060"/>
        </w:rPr>
        <w:t>**URCDP:** Ley 18.331 art. 12 y Decreto 64/020 — notificación de vulneraciones de datos personales en 72 h</w:t>
      </w:r>
    </w:p>
    <w:p>
      <w:pPr>
        <w:ind w:left="432"/>
      </w:pPr>
      <w:r>
        <w:rPr>
          <w:i/>
          <w:color w:val="606060"/>
        </w:rPr>
        <w:t>**Nivel del curso:** 🔴 Dominar</w:t>
      </w:r>
    </w:p>
    <w:p>
      <w:pPr>
        <w:spacing w:before="120" w:after="120"/>
      </w:pPr>
    </w:p>
    <w:p>
      <w:pPr>
        <w:pStyle w:val="Heading2"/>
      </w:pPr>
      <w:r>
        <w:rPr>
          <w:color w:val="1F3B63"/>
        </w:rPr>
        <w:t>1. Objetivo y alcance</w:t>
      </w:r>
    </w:p>
    <w:p>
      <w:r>
        <w:t>Detectar, contener, erradicar y recuperar los incidentes de seguridad con rapidez y trazabilidad, minimizando el impacto. Aplica a todo incidente que afecte la confidencialidad, integridad o disponibilidad de la información y los sistemas del Banco, incluido el entorno de IA.</w:t>
      </w:r>
    </w:p>
    <w:p>
      <w:pPr>
        <w:pStyle w:val="Heading2"/>
      </w:pPr>
      <w:r>
        <w:rPr>
          <w:color w:val="1F3B63"/>
        </w:rPr>
        <w:t>2. Responsables</w:t>
      </w:r>
    </w:p>
    <w:p>
      <w:pPr>
        <w:pStyle w:val="ListBullet"/>
      </w:pPr>
      <w:r>
        <w:rPr>
          <w:b/>
        </w:rPr>
        <w:t>Todo el personal</w:t>
      </w:r>
      <w:r>
        <w:t>: reporta al detectar o sospechar un incidente.</w:t>
      </w:r>
    </w:p>
    <w:p>
      <w:pPr>
        <w:pStyle w:val="ListBullet"/>
      </w:pPr>
      <w:r>
        <w:rPr>
          <w:b/>
        </w:rPr>
        <w:t>Mesa de Ayuda</w:t>
      </w:r>
      <w:r>
        <w:t>: primer punto de contacto y registro.</w:t>
      </w:r>
    </w:p>
    <w:p>
      <w:pPr>
        <w:pStyle w:val="ListBullet"/>
      </w:pPr>
      <w:r>
        <w:rPr>
          <w:b/>
        </w:rPr>
        <w:t>RSI (CERT interno)</w:t>
      </w:r>
      <w:r>
        <w:t>: investiga, contiene y gestiona.</w:t>
      </w:r>
    </w:p>
    <w:p>
      <w:pPr>
        <w:pStyle w:val="ListBullet"/>
      </w:pPr>
      <w:r>
        <w:rPr>
          <w:b/>
        </w:rPr>
        <w:t>Comité de Incidentes</w:t>
      </w:r>
      <w:r>
        <w:t>: decisiones de comunicación y escalamiento.</w:t>
      </w:r>
    </w:p>
    <w:p>
      <w:pPr>
        <w:pStyle w:val="ListBullet"/>
      </w:pPr>
      <w:r>
        <w:rPr>
          <w:b/>
        </w:rPr>
        <w:t>DPD</w:t>
      </w:r>
      <w:r>
        <w:t>: evalúa y ejecuta la notificación a la URCDP si hay datos personales.</w:t>
      </w:r>
    </w:p>
    <w:p>
      <w:pPr>
        <w:pStyle w:val="Heading2"/>
      </w:pPr>
      <w:r>
        <w:rPr>
          <w:color w:val="1F3B63"/>
        </w:rPr>
        <w:t>3. Entradas</w:t>
      </w:r>
    </w:p>
    <w:p>
      <w:pPr>
        <w:pStyle w:val="ListBullet"/>
      </w:pPr>
      <w:r>
        <w:t>Reporte inicial (teléfono, correo, ticket, alerta de monitoreo).</w:t>
      </w:r>
    </w:p>
    <w:p>
      <w:pPr>
        <w:pStyle w:val="ListBullet"/>
      </w:pPr>
      <w:r>
        <w:t>Evidencia inicial (correos, capturas, logs, muestras).</w:t>
      </w:r>
    </w:p>
    <w:p>
      <w:pPr>
        <w:pStyle w:val="ListBullet"/>
      </w:pPr>
      <w:r>
        <w:t>Procedimiento de monitoreo (POL-06).</w:t>
      </w:r>
    </w:p>
    <w:p>
      <w:pPr>
        <w:pStyle w:val="Heading2"/>
      </w:pPr>
      <w:r>
        <w:rPr>
          <w:color w:val="1F3B63"/>
        </w:rPr>
        <w:t>4. Clasificación de incidentes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</w:tcPr>
          <w:p>
            <w:r>
              <w:rPr>
                <w:b/>
              </w:rPr>
            </w:r>
            <w:r>
              <w:rPr>
                <w:b/>
              </w:rPr>
              <w:t>Nivel</w:t>
            </w:r>
          </w:p>
        </w:tc>
        <w:tc>
          <w:tcPr>
            <w:tcW w:type="dxa" w:w="3216"/>
          </w:tcPr>
          <w:p>
            <w:r>
              <w:rPr>
                <w:b/>
              </w:rPr>
            </w:r>
            <w:r>
              <w:rPr>
                <w:b/>
              </w:rPr>
              <w:t>Ejemplo</w:t>
            </w:r>
          </w:p>
        </w:tc>
        <w:tc>
          <w:tcPr>
            <w:tcW w:type="dxa" w:w="3216"/>
          </w:tcPr>
          <w:p>
            <w:r>
              <w:rPr>
                <w:b/>
              </w:rPr>
            </w:r>
            <w:r>
              <w:rPr>
                <w:b/>
              </w:rPr>
              <w:t>Respuesta</w:t>
            </w:r>
          </w:p>
        </w:tc>
      </w:tr>
      <w:tr>
        <w:tc>
          <w:tcPr>
            <w:tcW w:type="dxa" w:w="3216"/>
          </w:tcPr>
          <w:p>
            <w:r/>
            <w:r>
              <w:rPr>
                <w:b/>
              </w:rPr>
              <w:t>Leve</w:t>
            </w:r>
          </w:p>
        </w:tc>
        <w:tc>
          <w:tcPr>
            <w:tcW w:type="dxa" w:w="3216"/>
          </w:tcPr>
          <w:p>
            <w:r/>
            <w:r>
              <w:t>Correo phishing no abierto, alerta falsa</w:t>
            </w:r>
          </w:p>
        </w:tc>
        <w:tc>
          <w:tcPr>
            <w:tcW w:type="dxa" w:w="3216"/>
          </w:tcPr>
          <w:p>
            <w:r/>
            <w:r>
              <w:t>Registro y cierre</w:t>
            </w:r>
          </w:p>
        </w:tc>
      </w:tr>
      <w:tr>
        <w:tc>
          <w:tcPr>
            <w:tcW w:type="dxa" w:w="3216"/>
          </w:tcPr>
          <w:p>
            <w:r/>
            <w:r>
              <w:rPr>
                <w:b/>
              </w:rPr>
              <w:t>Moderado</w:t>
            </w:r>
          </w:p>
        </w:tc>
        <w:tc>
          <w:tcPr>
            <w:tcW w:type="dxa" w:w="3216"/>
          </w:tcPr>
          <w:p>
            <w:r/>
            <w:r>
              <w:t>Equipo infectado, cuenta comprometida</w:t>
            </w:r>
          </w:p>
        </w:tc>
        <w:tc>
          <w:tcPr>
            <w:tcW w:type="dxa" w:w="3216"/>
          </w:tcPr>
          <w:p>
            <w:r/>
            <w:r>
              <w:t>Contención y análisis</w:t>
            </w:r>
          </w:p>
        </w:tc>
      </w:tr>
      <w:tr>
        <w:tc>
          <w:tcPr>
            <w:tcW w:type="dxa" w:w="3216"/>
          </w:tcPr>
          <w:p>
            <w:r/>
            <w:r>
              <w:rPr>
                <w:b/>
              </w:rPr>
              <w:t>Grave</w:t>
            </w:r>
          </w:p>
        </w:tc>
        <w:tc>
          <w:tcPr>
            <w:tcW w:type="dxa" w:w="3216"/>
          </w:tcPr>
          <w:p>
            <w:r/>
            <w:r>
              <w:t>Ransomware, fuga de datos, acceso no autorizado a sistemas críticos</w:t>
            </w:r>
          </w:p>
        </w:tc>
        <w:tc>
          <w:tcPr>
            <w:tcW w:type="dxa" w:w="3216"/>
          </w:tcPr>
          <w:p>
            <w:r/>
            <w:r>
              <w:t>Respuesta completa, escalamiento a Dirección y BCU</w:t>
            </w:r>
          </w:p>
        </w:tc>
      </w:tr>
      <w:tr>
        <w:tc>
          <w:tcPr>
            <w:tcW w:type="dxa" w:w="3216"/>
          </w:tcPr>
          <w:p>
            <w:r/>
            <w:r>
              <w:rPr>
                <w:b/>
              </w:rPr>
              <w:t>Crítico</w:t>
            </w:r>
          </w:p>
        </w:tc>
        <w:tc>
          <w:tcPr>
            <w:tcW w:type="dxa" w:w="3216"/>
          </w:tcPr>
          <w:p>
            <w:r/>
            <w:r>
              <w:t>Indisponibilidad de servicios esenciales, impacto a clientes</w:t>
            </w:r>
          </w:p>
        </w:tc>
        <w:tc>
          <w:tcPr>
            <w:tcW w:type="dxa" w:w="3216"/>
          </w:tcPr>
          <w:p>
            <w:r/>
            <w:r>
              <w:t>Crisis + comunicación externa</w:t>
            </w:r>
          </w:p>
        </w:tc>
      </w:tr>
    </w:tbl>
    <w:p>
      <w:pPr>
        <w:pStyle w:val="Heading2"/>
      </w:pPr>
      <w:r>
        <w:rPr>
          <w:color w:val="1F3B63"/>
        </w:rPr>
        <w:t>5. Desarrollo paso a paso (fases)</w:t>
      </w:r>
    </w:p>
    <w:p>
      <w:pPr>
        <w:pStyle w:val="Heading3"/>
      </w:pPr>
      <w:r>
        <w:rPr>
          <w:color w:val="1F3B63"/>
        </w:rPr>
        <w:t>5.1 Detección y reporte (RS.RP)</w:t>
      </w:r>
    </w:p>
    <w:p>
      <w:pPr>
        <w:pStyle w:val="ListNumber"/>
      </w:pPr>
      <w:r>
        <w:t xml:space="preserve">Cualquier persona reporta el incidente al </w:t>
      </w:r>
      <w:r>
        <w:rPr>
          <w:b/>
        </w:rPr>
        <w:t>RSI/Mesa de Ayuda</w:t>
      </w:r>
      <w:r>
        <w:t xml:space="preserve"> con: qué pasó, cuándo, dónde y qué evidencia hay.</w:t>
      </w:r>
    </w:p>
    <w:p>
      <w:pPr>
        <w:pStyle w:val="ListNumber"/>
      </w:pPr>
      <w:r>
        <w:t xml:space="preserve">El RSI registra el incidente en el </w:t>
      </w:r>
      <w:r>
        <w:rPr>
          <w:b/>
        </w:rPr>
        <w:t>registro de incidentes</w:t>
      </w:r>
      <w:r>
        <w:t xml:space="preserve"> (RS-01) y asigna un nivel.</w:t>
      </w:r>
    </w:p>
    <w:p>
      <w:pPr>
        <w:pStyle w:val="ListNumber"/>
      </w:pPr>
      <w:r>
        <w:t xml:space="preserve">Se </w:t>
      </w:r>
      <w:r>
        <w:rPr>
          <w:b/>
        </w:rPr>
        <w:t>preserva la evidencia</w:t>
      </w:r>
      <w:r>
        <w:t xml:space="preserve"> (no apagar el equipo, no borrar logs).</w:t>
      </w:r>
    </w:p>
    <w:p>
      <w:pPr>
        <w:pStyle w:val="Heading3"/>
      </w:pPr>
      <w:r>
        <w:rPr>
          <w:color w:val="1F3B63"/>
        </w:rPr>
        <w:t>5.2 Contención (RS.RP)</w:t>
      </w:r>
    </w:p>
    <w:p>
      <w:pPr>
        <w:pStyle w:val="ListNumber"/>
      </w:pPr>
      <w:r>
        <w:t xml:space="preserve">Se </w:t>
      </w:r>
      <w:r>
        <w:rPr>
          <w:b/>
        </w:rPr>
        <w:t>aísla</w:t>
      </w:r>
      <w:r>
        <w:t xml:space="preserve"> lo afectado: desconexión de red, bloqueo de cuentas, revocación de accesos, bloqueo de dominios de correo malicioso.</w:t>
      </w:r>
    </w:p>
    <w:p>
      <w:pPr>
        <w:pStyle w:val="ListNumber"/>
      </w:pPr>
      <w:r>
        <w:t>Se notifica a los responsables de sistemas afectados.</w:t>
      </w:r>
    </w:p>
    <w:p>
      <w:pPr>
        <w:pStyle w:val="Heading3"/>
      </w:pPr>
      <w:r>
        <w:rPr>
          <w:color w:val="1F3B63"/>
        </w:rPr>
        <w:t>5.3 Erradicación y análisis</w:t>
      </w:r>
    </w:p>
    <w:p>
      <w:pPr>
        <w:pStyle w:val="ListNumber"/>
      </w:pPr>
      <w:r>
        <w:t>Se elimina la causa raíz (malware, acceso, configuración).</w:t>
      </w:r>
    </w:p>
    <w:p>
      <w:pPr>
        <w:pStyle w:val="ListNumber"/>
      </w:pPr>
      <w:r>
        <w:t xml:space="preserve">El RSI analiza logs, correos y evidencia para determinar </w:t>
      </w:r>
      <w:r>
        <w:rPr>
          <w:b/>
        </w:rPr>
        <w:t>alcance y causa raíz</w:t>
      </w:r>
      <w:r>
        <w:t>.</w:t>
      </w:r>
    </w:p>
    <w:p>
      <w:pPr>
        <w:pStyle w:val="ListNumber"/>
      </w:pPr>
      <w:r>
        <w:t xml:space="preserve">Si hay </w:t>
      </w:r>
      <w:r>
        <w:rPr>
          <w:b/>
        </w:rPr>
        <w:t>datos personales</w:t>
      </w:r>
      <w:r>
        <w:t xml:space="preserve"> involucrados, se evalúa el riesgo para los titulares con el DPD.</w:t>
      </w:r>
    </w:p>
    <w:p>
      <w:pPr>
        <w:pStyle w:val="Heading3"/>
      </w:pPr>
      <w:r>
        <w:rPr>
          <w:color w:val="1F3B63"/>
        </w:rPr>
        <w:t>5.4 Notificación y comunicación</w:t>
      </w:r>
    </w:p>
    <w:p>
      <w:pPr>
        <w:pStyle w:val="ListNumber"/>
      </w:pPr>
      <w:r>
        <w:rPr>
          <w:b/>
        </w:rPr>
        <w:t>A la URCDP</w:t>
      </w:r>
      <w:r>
        <w:t xml:space="preserve">: si la vulneración presenta riesgo para los derechos de los titulares, se notifica en </w:t>
      </w:r>
      <w:r>
        <w:rPr>
          <w:b/>
        </w:rPr>
        <w:t>72 horas</w:t>
      </w:r>
      <w:r>
        <w:t xml:space="preserve"> (Decreto 64/020) con el contenido definido en PRO-05.</w:t>
      </w:r>
    </w:p>
    <w:p>
      <w:pPr>
        <w:pStyle w:val="ListNumber"/>
      </w:pPr>
      <w:r>
        <w:rPr>
          <w:b/>
        </w:rPr>
        <w:t>Al BCU</w:t>
      </w:r>
      <w:r>
        <w:t>: incidentes cibernéticos relevantes se reportan según el RNRCSF y la normativa vigente.</w:t>
      </w:r>
    </w:p>
    <w:p>
      <w:pPr>
        <w:pStyle w:val="ListNumber"/>
      </w:pPr>
      <w:r>
        <w:rPr>
          <w:b/>
        </w:rPr>
        <w:t>Interna</w:t>
      </w:r>
      <w:r>
        <w:t>: comunicación a Dirección y Comité según la gravedad.</w:t>
      </w:r>
    </w:p>
    <w:p>
      <w:pPr>
        <w:pStyle w:val="Heading3"/>
      </w:pPr>
      <w:r>
        <w:rPr>
          <w:color w:val="1F3B63"/>
        </w:rPr>
        <w:t>5.5 Recuperación (RC.RP)</w:t>
      </w:r>
    </w:p>
    <w:p>
      <w:pPr>
        <w:pStyle w:val="ListNumber"/>
      </w:pPr>
      <w:r>
        <w:t xml:space="preserve">Se restaura con </w:t>
      </w:r>
      <w:r>
        <w:rPr>
          <w:b/>
        </w:rPr>
        <w:t>respaldos limpios</w:t>
      </w:r>
      <w:r>
        <w:t xml:space="preserve"> (POL-08), verificando que no queden rastros.</w:t>
      </w:r>
    </w:p>
    <w:p>
      <w:pPr>
        <w:pStyle w:val="ListNumber"/>
      </w:pPr>
      <w:r>
        <w:t>Se valida el funcionamiento y se vigila por recaídas.</w:t>
      </w:r>
    </w:p>
    <w:p>
      <w:pPr>
        <w:pStyle w:val="Heading3"/>
      </w:pPr>
      <w:r>
        <w:rPr>
          <w:color w:val="1F3B63"/>
        </w:rPr>
        <w:t>5.6 Lecciones aprendidas</w:t>
      </w:r>
    </w:p>
    <w:p>
      <w:pPr>
        <w:pStyle w:val="ListNumber"/>
      </w:pPr>
      <w:r>
        <w:t>Se documenta el incidente: línea de tiempo, causa raíz, acciones y lecciones.</w:t>
      </w:r>
    </w:p>
    <w:p>
      <w:pPr>
        <w:pStyle w:val="ListNumber"/>
      </w:pPr>
      <w:r>
        <w:t xml:space="preserve">Se definen </w:t>
      </w:r>
      <w:r>
        <w:rPr>
          <w:b/>
        </w:rPr>
        <w:t>planes de acción</w:t>
      </w:r>
      <w:r>
        <w:t xml:space="preserve"> (mejoras de controles) con responsable y fecha.</w:t>
      </w:r>
    </w:p>
    <w:p>
      <w:pPr>
        <w:pStyle w:val="ListNumber"/>
      </w:pPr>
      <w:r>
        <w:t>Se comunica la lección al personal (POL-09, PRO-12).</w:t>
      </w:r>
    </w:p>
    <w:p>
      <w:pPr>
        <w:pStyle w:val="Heading2"/>
      </w:pPr>
      <w:r>
        <w:rPr>
          <w:color w:val="1F3B63"/>
        </w:rPr>
        <w:t>6. Salidas y registros</w:t>
      </w:r>
    </w:p>
    <w:p>
      <w:pPr>
        <w:pStyle w:val="ListBullet"/>
      </w:pPr>
      <w:r>
        <w:t>Registro de incidente completo (RS-01).</w:t>
      </w:r>
    </w:p>
    <w:p>
      <w:pPr>
        <w:pStyle w:val="ListBullet"/>
      </w:pPr>
      <w:r>
        <w:t>Informe de incidente (causa raíz, impacto, lecciones).</w:t>
      </w:r>
    </w:p>
    <w:p>
      <w:pPr>
        <w:pStyle w:val="ListBullet"/>
      </w:pPr>
      <w:r>
        <w:t>Notificación a URCDP/BCU si corresponde.</w:t>
      </w:r>
    </w:p>
    <w:p>
      <w:pPr>
        <w:pStyle w:val="ListBullet"/>
      </w:pPr>
      <w:r>
        <w:t>Plan de acción de mejoras.</w:t>
      </w:r>
    </w:p>
    <w:p>
      <w:pPr>
        <w:pStyle w:val="Heading2"/>
      </w:pPr>
      <w:r>
        <w:rPr>
          <w:color w:val="1F3B63"/>
        </w:rPr>
        <w:t>7. Errores comunes</w:t>
      </w:r>
    </w:p>
    <w:p>
      <w:pPr>
        <w:pStyle w:val="ListBullet"/>
      </w:pPr>
      <w:r>
        <w:t>No reportar por temor o por "resolver rápido".</w:t>
      </w:r>
    </w:p>
    <w:p>
      <w:pPr>
        <w:pStyle w:val="ListBullet"/>
      </w:pPr>
      <w:r>
        <w:t>Apagar equipos y perder evidencia.</w:t>
      </w:r>
    </w:p>
    <w:p>
      <w:pPr>
        <w:pStyle w:val="ListBullet"/>
      </w:pPr>
      <w:r>
        <w:t>Comunicar sin confirmar datos.</w:t>
      </w:r>
    </w:p>
    <w:p>
      <w:pPr>
        <w:pStyle w:val="ListBullet"/>
      </w:pPr>
      <w:r>
        <w:t>No aprender de los incidentes previos.</w:t>
      </w:r>
    </w:p>
    <w:p>
      <w:pPr>
        <w:pStyle w:val="Heading2"/>
      </w:pPr>
      <w:r>
        <w:rPr>
          <w:color w:val="1F3B63"/>
        </w:rPr>
        <w:t>8. Referencias</w:t>
      </w:r>
    </w:p>
    <w:p>
      <w:r>
        <w:t>POL-07 (Plan de respuesta) · POL-06 (Monitoreo) · PRO-05 (Notificación) · POL-05 (Malware) · PCS-05.</w:t>
      </w:r>
    </w:p>
    <w:p>
      <w:pPr>
        <w:pStyle w:val="Heading2"/>
      </w:pPr>
      <w:r>
        <w:rPr>
          <w:color w:val="1F3B63"/>
        </w:rPr>
        <w:t>9. Evidencia</w:t>
      </w:r>
    </w:p>
    <w:p>
      <w:r>
        <w:t>Registro de incidentes, informes, notificaciones. Alimenta: RS-01, ID-02, cumplimiento BCU y URCDP.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