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PRO-05 · Procedimiento: Notificación de Vulneraciones de Datos Personales</w:t>
      </w:r>
    </w:p>
    <w:p>
      <w:pPr>
        <w:ind w:left="432"/>
      </w:pPr>
      <w:r>
        <w:rPr>
          <w:i/>
          <w:color w:val="606060"/>
        </w:rPr>
        <w:t>**Función del MCU 5.0:** Responder (RS.CO — comunicación) · Cumplimiento (CN)</w:t>
      </w:r>
    </w:p>
    <w:p>
      <w:pPr>
        <w:ind w:left="432"/>
      </w:pPr>
      <w:r>
        <w:rPr>
          <w:i/>
          <w:color w:val="606060"/>
        </w:rPr>
        <w:t>**ISO/IEC 27001:** A.5.28 (notificación de incidentes) · A.5.34 (datos personales)</w:t>
      </w:r>
    </w:p>
    <w:p>
      <w:pPr>
        <w:ind w:left="432"/>
      </w:pPr>
      <w:r>
        <w:rPr>
          <w:i/>
          <w:color w:val="606060"/>
        </w:rPr>
        <w:t>**BCU:** EMG — notificación de incidentes cibernéticos relevantes al supervisor</w:t>
      </w:r>
    </w:p>
    <w:p>
      <w:pPr>
        <w:ind w:left="432"/>
      </w:pPr>
      <w:r>
        <w:rPr>
          <w:i/>
          <w:color w:val="606060"/>
        </w:rPr>
        <w:t>**URCDP:** Ley 18.331 art. 12 y Decreto 64/020 — obligación de notificar a la URCDP en **72 horas** las vulneraciones de datos personales que presenten riesgo para los derechos de los titulares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Definir cuándo y cómo el Banco </w:t>
      </w:r>
      <w:r>
        <w:rPr>
          <w:b/>
        </w:rPr>
        <w:t>notifica las vulneraciones de datos personales</w:t>
      </w:r>
      <w:r>
        <w:t xml:space="preserve"> a la URCDP y, cuando corresponda, a los titulares afectados. Aplica a cualquier incidente que comprometa datos personales (clientes, empleados, otros).</w:t>
      </w:r>
    </w:p>
    <w:p>
      <w:pPr>
        <w:pStyle w:val="Heading2"/>
      </w:pPr>
      <w:r>
        <w:rPr>
          <w:color w:val="1F3B63"/>
        </w:rPr>
        <w:t>2. Responsables</w:t>
      </w:r>
    </w:p>
    <w:p>
      <w:pPr>
        <w:pStyle w:val="ListBullet"/>
      </w:pPr>
      <w:r>
        <w:rPr>
          <w:b/>
        </w:rPr>
        <w:t>DPD</w:t>
      </w:r>
      <w:r>
        <w:t>: decide y ejecuta la notificación; interlocutor con la URCDP.</w:t>
      </w:r>
    </w:p>
    <w:p>
      <w:pPr>
        <w:pStyle w:val="ListBullet"/>
      </w:pPr>
      <w:r>
        <w:rPr>
          <w:b/>
        </w:rPr>
        <w:t>RSI</w:t>
      </w:r>
      <w:r>
        <w:t>: aporta el análisis técnico del incidente.</w:t>
      </w:r>
    </w:p>
    <w:p>
      <w:pPr>
        <w:pStyle w:val="ListBullet"/>
      </w:pPr>
      <w:r>
        <w:rPr>
          <w:b/>
        </w:rPr>
        <w:t>Comité de Incidentes</w:t>
      </w:r>
      <w:r>
        <w:t>: aprueba la estrategia de comunicación.</w:t>
      </w:r>
    </w:p>
    <w:p>
      <w:pPr>
        <w:pStyle w:val="ListBullet"/>
      </w:pPr>
      <w:r>
        <w:rPr>
          <w:b/>
        </w:rPr>
        <w:t>Dirección</w:t>
      </w:r>
      <w:r>
        <w:t>: aprueba notificaciones a titulares cuando aplica.</w:t>
      </w:r>
    </w:p>
    <w:p>
      <w:pPr>
        <w:pStyle w:val="Heading2"/>
      </w:pPr>
      <w:r>
        <w:rPr>
          <w:color w:val="1F3B63"/>
        </w:rPr>
        <w:t>3. Cuándo notificar a la URCDP (Decreto 64/020 art. 24)</w:t>
      </w:r>
    </w:p>
    <w:p>
      <w:r>
        <w:t xml:space="preserve">Se notifica cuando la vulneración de datos personales pueda </w:t>
      </w:r>
      <w:r>
        <w:rPr>
          <w:b/>
        </w:rPr>
        <w:t>presentar un riesgo para los derechos y libertades de los titulares</w:t>
      </w:r>
      <w:r>
        <w:t>. En caso de duda, se notifica.</w:t>
      </w:r>
    </w:p>
    <w:p>
      <w:r>
        <w:rPr>
          <w:b/>
        </w:rPr>
        <w:t>No se notifica</w:t>
      </w:r>
      <w:r>
        <w:t xml:space="preserve"> cuando el riesgo para los titulares es improbable (p. ej., datos públicos, cifrados con clave no comprometida y sin otros datos asociados, o sin efecto probable).</w:t>
      </w:r>
    </w:p>
    <w:p>
      <w:pPr>
        <w:pStyle w:val="Heading2"/>
      </w:pPr>
      <w:r>
        <w:rPr>
          <w:color w:val="1F3B63"/>
        </w:rPr>
        <w:t>4. Desarrollo paso a paso</w:t>
      </w:r>
    </w:p>
    <w:p>
      <w:pPr>
        <w:pStyle w:val="ListNumber"/>
      </w:pPr>
      <w:r>
        <w:t xml:space="preserve">El </w:t>
      </w:r>
      <w:r>
        <w:rPr>
          <w:b/>
        </w:rPr>
        <w:t>RSI</w:t>
      </w:r>
      <w:r>
        <w:t xml:space="preserve"> confirma el incidente y, junto al </w:t>
      </w:r>
      <w:r>
        <w:rPr>
          <w:b/>
        </w:rPr>
        <w:t>DPD</w:t>
      </w:r>
      <w:r>
        <w:t>, determina si involucra datos personales (PRO-04).</w:t>
      </w:r>
    </w:p>
    <w:p>
      <w:pPr>
        <w:pStyle w:val="ListNumber"/>
      </w:pPr>
      <w:r>
        <w:t xml:space="preserve">El </w:t>
      </w:r>
      <w:r>
        <w:rPr>
          <w:b/>
        </w:rPr>
        <w:t>DPD evalúa el riesgo</w:t>
      </w:r>
      <w:r>
        <w:t xml:space="preserve"> para los titulares: tipo de datos, volumen, sensibilidad, posibilidad de uso indebido, mitigaciones aplicadas (cifrado, revocación).</w:t>
      </w:r>
    </w:p>
    <w:p>
      <w:pPr>
        <w:pStyle w:val="ListNumber"/>
      </w:pPr>
      <w:r>
        <w:rPr>
          <w:b/>
        </w:rPr>
        <w:t>Decisión</w:t>
      </w:r>
      <w:r>
        <w:t>: si hay riesgo probable → notificar; si no → documentar la justificación de la no notificación.</w:t>
      </w:r>
    </w:p>
    <w:p>
      <w:pPr>
        <w:pStyle w:val="ListNumber"/>
      </w:pPr>
      <w:r>
        <w:t xml:space="preserve">El </w:t>
      </w:r>
      <w:r>
        <w:rPr>
          <w:b/>
        </w:rPr>
        <w:t>DPD prepara la notificación</w:t>
      </w:r>
      <w:r>
        <w:t xml:space="preserve"> con:</w:t>
      </w:r>
    </w:p>
    <w:p>
      <w:pPr>
        <w:pStyle w:val="ListBullet"/>
      </w:pPr>
      <w:r>
        <w:t>Descripción de la naturaleza de la vulneración.</w:t>
      </w:r>
    </w:p>
    <w:p>
      <w:pPr>
        <w:pStyle w:val="ListBullet"/>
      </w:pPr>
      <w:r>
        <w:t>Categorías y número aproximado de titulares y de registros.</w:t>
      </w:r>
    </w:p>
    <w:p>
      <w:pPr>
        <w:pStyle w:val="ListBullet"/>
      </w:pPr>
      <w:r>
        <w:t>Categorías de datos comprometidos.</w:t>
      </w:r>
    </w:p>
    <w:p>
      <w:pPr>
        <w:pStyle w:val="ListBullet"/>
      </w:pPr>
      <w:r>
        <w:t>Medidas adoptadas y propuestas para mitigar.</w:t>
      </w:r>
    </w:p>
    <w:p>
      <w:pPr>
        <w:pStyle w:val="ListBullet"/>
      </w:pPr>
      <w:r>
        <w:t>Contacto del DPD.</w:t>
      </w:r>
    </w:p>
    <w:p>
      <w:pPr>
        <w:pStyle w:val="ListNumber"/>
      </w:pPr>
      <w:r>
        <w:t xml:space="preserve">La </w:t>
      </w:r>
      <w:r>
        <w:rPr>
          <w:b/>
        </w:rPr>
        <w:t>notificación se envía a la URCDP dentro de las 72 horas</w:t>
      </w:r>
      <w:r>
        <w:t xml:space="preserve"> de conocido el incidente; si no hay información completa, se envía una notificación preliminar y se completa después.</w:t>
      </w:r>
    </w:p>
    <w:p>
      <w:pPr>
        <w:pStyle w:val="ListNumber"/>
      </w:pPr>
      <w:r>
        <w:t xml:space="preserve">Si el riesgo para los titulares es </w:t>
      </w:r>
      <w:r>
        <w:rPr>
          <w:b/>
        </w:rPr>
        <w:t>alto</w:t>
      </w:r>
      <w:r>
        <w:t xml:space="preserve">, el Banco </w:t>
      </w:r>
      <w:r>
        <w:rPr>
          <w:b/>
        </w:rPr>
        <w:t>comunica a los titulares</w:t>
      </w:r>
      <w:r>
        <w:t xml:space="preserve"> de forma clara y gratuita.</w:t>
      </w:r>
    </w:p>
    <w:p>
      <w:pPr>
        <w:pStyle w:val="ListNumber"/>
      </w:pPr>
      <w:r>
        <w:t xml:space="preserve">Se </w:t>
      </w:r>
      <w:r>
        <w:rPr>
          <w:b/>
        </w:rPr>
        <w:t>registra</w:t>
      </w:r>
      <w:r>
        <w:t xml:space="preserve"> la notificación, la justificación y la respuesta de la URCDP.</w:t>
      </w:r>
    </w:p>
    <w:p>
      <w:pPr>
        <w:pStyle w:val="ListNumber"/>
      </w:pPr>
      <w:r>
        <w:t xml:space="preserve">Si corresponde reporte al </w:t>
      </w:r>
      <w:r>
        <w:rPr>
          <w:b/>
        </w:rPr>
        <w:t>BCU</w:t>
      </w:r>
      <w:r>
        <w:t xml:space="preserve"> (incidente cibernético relevante), el RSI lo coordina en paralelo (PRO-04).</w:t>
      </w:r>
    </w:p>
    <w:p>
      <w:pPr>
        <w:pStyle w:val="Heading2"/>
      </w:pPr>
      <w:r>
        <w:rPr>
          <w:color w:val="1F3B63"/>
        </w:rPr>
        <w:t>5. Plazos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</w:tr>
      <w:tr>
        <w:tc>
          <w:tcPr>
            <w:tcW w:type="dxa" w:w="4824"/>
          </w:tcPr>
          <w:p>
            <w:r/>
            <w:r>
              <w:t>Notificación a la URCDP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72 horas</w:t>
            </w:r>
            <w:r>
              <w:t xml:space="preserve"> desde el conocimiento del incidente</w:t>
            </w:r>
          </w:p>
        </w:tc>
      </w:tr>
      <w:tr>
        <w:tc>
          <w:tcPr>
            <w:tcW w:type="dxa" w:w="4824"/>
          </w:tcPr>
          <w:p>
            <w:r/>
            <w:r>
              <w:t>Comunicación a titulares</w:t>
            </w:r>
          </w:p>
        </w:tc>
        <w:tc>
          <w:tcPr>
            <w:tcW w:type="dxa" w:w="4824"/>
          </w:tcPr>
          <w:p>
            <w:r/>
            <w:r>
              <w:t>Sin dilación, en cuanto se pueda (riesgo alto)</w:t>
            </w:r>
          </w:p>
        </w:tc>
      </w:tr>
      <w:tr>
        <w:tc>
          <w:tcPr>
            <w:tcW w:type="dxa" w:w="4824"/>
          </w:tcPr>
          <w:p>
            <w:r/>
            <w:r>
              <w:t>Justificación de no notificación</w:t>
            </w:r>
          </w:p>
        </w:tc>
        <w:tc>
          <w:tcPr>
            <w:tcW w:type="dxa" w:w="4824"/>
          </w:tcPr>
          <w:p>
            <w:r/>
            <w:r>
              <w:t>Documentada con el incidente</w:t>
            </w:r>
          </w:p>
        </w:tc>
      </w:tr>
    </w:tbl>
    <w:p>
      <w:pPr>
        <w:pStyle w:val="Heading2"/>
      </w:pPr>
      <w:r>
        <w:rPr>
          <w:color w:val="1F3B63"/>
        </w:rPr>
        <w:t>6. Salidas y registros</w:t>
      </w:r>
    </w:p>
    <w:p>
      <w:pPr>
        <w:pStyle w:val="ListBullet"/>
      </w:pPr>
      <w:r>
        <w:t>Notificación formal a la URCDP (y su constancia).</w:t>
      </w:r>
    </w:p>
    <w:p>
      <w:pPr>
        <w:pStyle w:val="ListBullet"/>
      </w:pPr>
      <w:r>
        <w:t>Registro del análisis de riesgo de la vulneración.</w:t>
      </w:r>
    </w:p>
    <w:p>
      <w:pPr>
        <w:pStyle w:val="ListBullet"/>
      </w:pPr>
      <w:r>
        <w:t>Comunicado a titulares si aplica.</w:t>
      </w:r>
    </w:p>
    <w:p>
      <w:pPr>
        <w:pStyle w:val="ListBullet"/>
      </w:pPr>
      <w:r>
        <w:t>Coordinación con el reporte al BCU.</w:t>
      </w:r>
    </w:p>
    <w:p>
      <w:pPr>
        <w:pStyle w:val="Heading2"/>
      </w:pPr>
      <w:r>
        <w:rPr>
          <w:color w:val="1F3B63"/>
        </w:rPr>
        <w:t>7. Errores comunes</w:t>
      </w:r>
    </w:p>
    <w:p>
      <w:pPr>
        <w:pStyle w:val="ListBullet"/>
      </w:pPr>
      <w:r>
        <w:t>No notificar por temor o por falta de claridad (más costoso).</w:t>
      </w:r>
    </w:p>
    <w:p>
      <w:pPr>
        <w:pStyle w:val="ListBullet"/>
      </w:pPr>
      <w:r>
        <w:t>Notificar tardíamente sin notificación preliminar.</w:t>
      </w:r>
    </w:p>
    <w:p>
      <w:pPr>
        <w:pStyle w:val="ListBullet"/>
      </w:pPr>
      <w:r>
        <w:t>No documentar la evaluación de riesgo.</w:t>
      </w:r>
    </w:p>
    <w:p>
      <w:pPr>
        <w:pStyle w:val="ListBullet"/>
      </w:pPr>
      <w:r>
        <w:t>Mezclar los plazos de URCDP (72 h) y de BCU.</w:t>
      </w:r>
    </w:p>
    <w:p>
      <w:pPr>
        <w:pStyle w:val="Heading2"/>
      </w:pPr>
      <w:r>
        <w:rPr>
          <w:color w:val="1F3B63"/>
        </w:rPr>
        <w:t>8. Referencias y evidencia</w:t>
      </w:r>
    </w:p>
    <w:p>
      <w:r>
        <w:t>POL-07 · POL-20 · PRO-04. Alimenta: URCDP-03 (registro de notificaciones), cumplimiento Decreto 64/020.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