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PRO-06 · Procedimiento: Gestión de Vulnerabilidades Técnicas</w:t>
      </w:r>
    </w:p>
    <w:p>
      <w:pPr>
        <w:ind w:left="432"/>
      </w:pPr>
      <w:r>
        <w:rPr>
          <w:i/>
          <w:color w:val="606060"/>
        </w:rPr>
        <w:t>**Función del MCU 5.0:** Proteger (PR.IP — remediación; PR.IP, PR.DS — gestión de vulnerabilidades)</w:t>
      </w:r>
    </w:p>
    <w:p>
      <w:pPr>
        <w:ind w:left="432"/>
      </w:pPr>
      <w:r>
        <w:rPr>
          <w:i/>
          <w:color w:val="606060"/>
        </w:rPr>
        <w:t>**ISO/IEC 27001:** A.8.8 (gestión de vulnerabilidades técnicas) · A.8.9 (configuración)</w:t>
      </w:r>
    </w:p>
    <w:p>
      <w:pPr>
        <w:ind w:left="432"/>
      </w:pPr>
      <w:r>
        <w:rPr>
          <w:i/>
          <w:color w:val="606060"/>
        </w:rPr>
        <w:t>**BCU:** EMG — gestión continua de vulnerabilidades como control esencial de ciberseguridad</w:t>
      </w:r>
    </w:p>
    <w:p>
      <w:pPr>
        <w:ind w:left="432"/>
      </w:pPr>
      <w:r>
        <w:rPr>
          <w:i/>
          <w:color w:val="606060"/>
        </w:rPr>
        <w:t>**URCDP:** Ley 18.331 art. 10 — medidas técnicas (parches) para proteger datos personales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Identificar, clasificar, remediar y verificar las </w:t>
      </w:r>
      <w:r>
        <w:rPr>
          <w:b/>
        </w:rPr>
        <w:t>vulnerabilidades técnicas</w:t>
      </w:r>
      <w:r>
        <w:t xml:space="preserve"> en los sistemas del Banco, de forma continua y con priorización por riesgo. Aplica a servidores, estaciones, equipos de red, bases de datos, aplicaciones, dispositivos móviles y el entorno de IA (modelos y bibliotecas — curso AISEC-07).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Div. TI</w:t>
      </w:r>
      <w:r>
        <w:t>: ejecuta escaneos y aplica parches.</w:t>
      </w:r>
    </w:p>
    <w:p>
      <w:pPr>
        <w:pStyle w:val="ListBullet"/>
      </w:pPr>
      <w:r>
        <w:rPr>
          <w:b/>
        </w:rPr>
        <w:t>RSI</w:t>
      </w:r>
      <w:r>
        <w:t>: define calendario, prioriza y verifica.</w:t>
      </w:r>
    </w:p>
    <w:p>
      <w:pPr>
        <w:pStyle w:val="ListBullet"/>
      </w:pPr>
      <w:r>
        <w:rPr>
          <w:b/>
        </w:rPr>
        <w:t>Dueños de sistemas</w:t>
      </w:r>
      <w:r>
        <w:t>: aprueban la instalación de parches en sistemas críticos.</w:t>
      </w:r>
    </w:p>
    <w:p>
      <w:pPr>
        <w:pStyle w:val="Heading2"/>
      </w:pPr>
      <w:r>
        <w:rPr>
          <w:color w:val="1F3B63"/>
        </w:rPr>
        <w:t>3. Entradas</w:t>
      </w:r>
    </w:p>
    <w:p>
      <w:pPr>
        <w:pStyle w:val="ListBullet"/>
      </w:pPr>
      <w:r>
        <w:t>Inventario de sistemas y versiones (POL-03, ID-01).</w:t>
      </w:r>
    </w:p>
    <w:p>
      <w:pPr>
        <w:pStyle w:val="ListBullet"/>
      </w:pPr>
      <w:r>
        <w:t>Líneas base de configuración (PRO-03).</w:t>
      </w:r>
    </w:p>
    <w:p>
      <w:pPr>
        <w:pStyle w:val="ListBullet"/>
      </w:pPr>
      <w:r>
        <w:t>Avisos de seguridad de fabricantes (CERT-UY, CISA, proveedores).</w:t>
      </w:r>
    </w:p>
    <w:p>
      <w:pPr>
        <w:pStyle w:val="Heading2"/>
      </w:pPr>
      <w:r>
        <w:rPr>
          <w:color w:val="1F3B63"/>
        </w:rPr>
        <w:t>4. Desarrollo paso a paso</w:t>
      </w:r>
    </w:p>
    <w:p>
      <w:pPr>
        <w:pStyle w:val="ListNumber"/>
      </w:pPr>
      <w:r>
        <w:rPr>
          <w:b/>
        </w:rPr>
        <w:t>Identificar</w:t>
      </w:r>
      <w:r>
        <w:t>: se mantiene el inventario actualizado de sistemas, software y versiones.</w:t>
      </w:r>
    </w:p>
    <w:p>
      <w:pPr>
        <w:pStyle w:val="ListNumber"/>
      </w:pPr>
      <w:r>
        <w:rPr>
          <w:b/>
        </w:rPr>
        <w:t>Escanear</w:t>
      </w:r>
      <w:r>
        <w:t>: el RSI coordina escaneos de vulnerabilidades con periodicidad según el riesgo del sistema:</w:t>
      </w:r>
    </w:p>
    <w:p>
      <w:pPr>
        <w:pStyle w:val="ListBullet"/>
      </w:pPr>
      <w:r>
        <w:t xml:space="preserve">Críticos (frontales a Internet, core bancario): </w:t>
      </w:r>
      <w:r>
        <w:rPr>
          <w:b/>
        </w:rPr>
        <w:t>mensual</w:t>
      </w:r>
      <w:r>
        <w:t>.</w:t>
      </w:r>
    </w:p>
    <w:p>
      <w:pPr>
        <w:pStyle w:val="ListBullet"/>
      </w:pPr>
      <w:r>
        <w:t xml:space="preserve">Internos importantes: </w:t>
      </w:r>
      <w:r>
        <w:rPr>
          <w:b/>
        </w:rPr>
        <w:t>trimestral</w:t>
      </w:r>
      <w:r>
        <w:t>.</w:t>
      </w:r>
    </w:p>
    <w:p>
      <w:pPr>
        <w:pStyle w:val="ListBullet"/>
      </w:pPr>
      <w:r>
        <w:t xml:space="preserve">Otros: </w:t>
      </w:r>
      <w:r>
        <w:rPr>
          <w:b/>
        </w:rPr>
        <w:t>semestral</w:t>
      </w:r>
      <w:r>
        <w:t xml:space="preserve"> o ante cambios.</w:t>
      </w:r>
    </w:p>
    <w:p>
      <w:pPr>
        <w:pStyle w:val="ListNumber"/>
      </w:pPr>
      <w:r>
        <w:rPr>
          <w:b/>
        </w:rPr>
        <w:t>Clasificar</w:t>
      </w:r>
      <w:r>
        <w:t xml:space="preserve">: cada vulnerabilidad se puntúa con </w:t>
      </w:r>
      <w:r>
        <w:rPr>
          <w:b/>
        </w:rPr>
        <w:t>CVSS</w:t>
      </w:r>
      <w:r>
        <w:t xml:space="preserve"> y se combina con la criticidad del sistema (matriz de riesgo).</w:t>
      </w:r>
    </w:p>
    <w:p>
      <w:pPr>
        <w:pStyle w:val="ListNumber"/>
      </w:pPr>
      <w:r>
        <w:rPr>
          <w:b/>
        </w:rPr>
        <w:t>Remediar</w:t>
      </w:r>
      <w:r>
        <w:t xml:space="preserve"> según el siguiente esquema (referencia):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Tiempo objetivo de parche</w:t>
            </w:r>
          </w:p>
        </w:tc>
      </w:tr>
      <w:tr>
        <w:tc>
          <w:tcPr>
            <w:tcW w:type="dxa" w:w="4824"/>
          </w:tcPr>
          <w:p>
            <w:r/>
            <w:r>
              <w:t>Crítica (CVSS ≥ 9.0)</w:t>
            </w:r>
          </w:p>
        </w:tc>
        <w:tc>
          <w:tcPr>
            <w:tcW w:type="dxa" w:w="4824"/>
          </w:tcPr>
          <w:p>
            <w:r/>
            <w:r>
              <w:t>72 horas / [COMPLETAR]</w:t>
            </w:r>
          </w:p>
        </w:tc>
      </w:tr>
      <w:tr>
        <w:tc>
          <w:tcPr>
            <w:tcW w:type="dxa" w:w="4824"/>
          </w:tcPr>
          <w:p>
            <w:r/>
            <w:r>
              <w:t>Alta (7.0-8.9)</w:t>
            </w:r>
          </w:p>
        </w:tc>
        <w:tc>
          <w:tcPr>
            <w:tcW w:type="dxa" w:w="4824"/>
          </w:tcPr>
          <w:p>
            <w:r/>
            <w:r>
              <w:t>15 días</w:t>
            </w:r>
          </w:p>
        </w:tc>
      </w:tr>
      <w:tr>
        <w:tc>
          <w:tcPr>
            <w:tcW w:type="dxa" w:w="4824"/>
          </w:tcPr>
          <w:p>
            <w:r/>
            <w:r>
              <w:t>Media (4.0-6.9)</w:t>
            </w:r>
          </w:p>
        </w:tc>
        <w:tc>
          <w:tcPr>
            <w:tcW w:type="dxa" w:w="4824"/>
          </w:tcPr>
          <w:p>
            <w:r/>
            <w:r>
              <w:t>30-90 días</w:t>
            </w:r>
          </w:p>
        </w:tc>
      </w:tr>
      <w:tr>
        <w:tc>
          <w:tcPr>
            <w:tcW w:type="dxa" w:w="4824"/>
          </w:tcPr>
          <w:p>
            <w:r/>
            <w:r>
              <w:t>Baja (&lt; 4.0)</w:t>
            </w:r>
          </w:p>
        </w:tc>
        <w:tc>
          <w:tcPr>
            <w:tcW w:type="dxa" w:w="4824"/>
          </w:tcPr>
          <w:p>
            <w:r/>
            <w:r>
              <w:t>En el ciclo normal</w:t>
            </w:r>
          </w:p>
        </w:tc>
      </w:tr>
    </w:tbl>
    <w:p>
      <w:pPr>
        <w:pStyle w:val="ListNumber"/>
      </w:pPr>
      <w:r>
        <w:t xml:space="preserve">Cuando no se puede parchear (riesgo de disponibilidad, ventana), se aplican </w:t>
      </w:r>
      <w:r>
        <w:rPr>
          <w:b/>
        </w:rPr>
        <w:t>mitigaciones compensatorias</w:t>
      </w:r>
      <w:r>
        <w:t xml:space="preserve"> (protección de red, segmentación, monitoreo) y se registra como </w:t>
      </w:r>
      <w:r>
        <w:rPr>
          <w:b/>
        </w:rPr>
        <w:t>excepción temporal</w:t>
      </w:r>
      <w:r>
        <w:t xml:space="preserve"> con vencimiento.</w:t>
      </w:r>
    </w:p>
    <w:p>
      <w:pPr>
        <w:pStyle w:val="ListNumber"/>
      </w:pPr>
      <w:r>
        <w:rPr>
          <w:b/>
        </w:rPr>
        <w:t>Verificar</w:t>
      </w:r>
      <w:r>
        <w:t>: tras el parche se re-escanea para confirmar la remoción.</w:t>
      </w:r>
    </w:p>
    <w:p>
      <w:pPr>
        <w:pStyle w:val="ListNumber"/>
      </w:pPr>
      <w:r>
        <w:rPr>
          <w:b/>
        </w:rPr>
        <w:t>Reportar</w:t>
      </w:r>
      <w:r>
        <w:t>: métricas de vulnerabilidades abiertas, vencidas y tiempos de remediación al Comité.</w:t>
      </w:r>
    </w:p>
    <w:p>
      <w:pPr>
        <w:pStyle w:val="Heading2"/>
      </w:pPr>
      <w:r>
        <w:rPr>
          <w:color w:val="1F3B63"/>
        </w:rPr>
        <w:t>5. Casos especiales</w:t>
      </w:r>
    </w:p>
    <w:p>
      <w:pPr>
        <w:pStyle w:val="ListBullet"/>
      </w:pPr>
      <w:r>
        <w:rPr>
          <w:b/>
        </w:rPr>
        <w:t>Vulnerabilidades activamente explotadas</w:t>
      </w:r>
      <w:r>
        <w:t xml:space="preserve"> (KEV): se priorizan de inmediato aunque el CVSS sea menor.</w:t>
      </w:r>
    </w:p>
    <w:p>
      <w:pPr>
        <w:pStyle w:val="ListBullet"/>
      </w:pPr>
      <w:r>
        <w:rPr>
          <w:b/>
        </w:rPr>
        <w:t>Aplicaciones propias y código</w:t>
      </w:r>
      <w:r>
        <w:t>: el escaneo se integra al ciclo de desarrollo (POL-15, PRO-10) — SAST/DAST y dependencias.</w:t>
      </w:r>
    </w:p>
    <w:p>
      <w:pPr>
        <w:pStyle w:val="ListBullet"/>
      </w:pPr>
      <w:r>
        <w:rPr>
          <w:b/>
        </w:rPr>
        <w:t>Entorno de IA</w:t>
      </w:r>
      <w:r>
        <w:t>: se controlan versiones, dependencias y modelos (curso AISEC-13).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Registro de escaneos y hallazgos.</w:t>
      </w:r>
    </w:p>
    <w:p>
      <w:pPr>
        <w:pStyle w:val="ListBullet"/>
      </w:pPr>
      <w:r>
        <w:t>Reporte de vulnerabilidades con severidad y estado.</w:t>
      </w:r>
    </w:p>
    <w:p>
      <w:pPr>
        <w:pStyle w:val="ListBullet"/>
      </w:pPr>
      <w:r>
        <w:t>Registro de excepciones/compensaciones.</w:t>
      </w:r>
    </w:p>
    <w:p>
      <w:pPr>
        <w:pStyle w:val="ListBullet"/>
      </w:pPr>
      <w:r>
        <w:t>Métricas al Comité.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Escanear solo algunos sistemas.</w:t>
      </w:r>
    </w:p>
    <w:p>
      <w:pPr>
        <w:pStyle w:val="ListBullet"/>
      </w:pPr>
      <w:r>
        <w:t>No re-escanear tras parchear.</w:t>
      </w:r>
    </w:p>
    <w:p>
      <w:pPr>
        <w:pStyle w:val="ListBullet"/>
      </w:pPr>
      <w:r>
        <w:t>No priorizar por riesgo real (solo por CVSS).</w:t>
      </w:r>
    </w:p>
    <w:p>
      <w:pPr>
        <w:pStyle w:val="ListBullet"/>
      </w:pPr>
      <w:r>
        <w:t>Parches sin prueba en sistemas críticos.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POL-03 · POL-05 · POL-15 · PRO-03. Alimenta: PR-03, ID-02, hallazgos BCU.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