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PRO-07 · Procedimiento: Antivirus / EDR y Respuesta a Malware</w:t>
      </w:r>
    </w:p>
    <w:p>
      <w:pPr>
        <w:ind w:left="432"/>
      </w:pPr>
      <w:r>
        <w:rPr>
          <w:i/>
          <w:color w:val="606060"/>
        </w:rPr>
        <w:t>**Función del MCU 5.0:** Proteger (PR.DS — protección) · Responder (RS.RP — respuesta a malware)</w:t>
      </w:r>
    </w:p>
    <w:p>
      <w:pPr>
        <w:ind w:left="432"/>
      </w:pPr>
      <w:r>
        <w:rPr>
          <w:i/>
          <w:color w:val="606060"/>
        </w:rPr>
        <w:t>**ISO/IEC 27001:** A.8.7 (protección contra malware)</w:t>
      </w:r>
    </w:p>
    <w:p>
      <w:pPr>
        <w:ind w:left="432"/>
      </w:pPr>
      <w:r>
        <w:rPr>
          <w:i/>
          <w:color w:val="606060"/>
        </w:rPr>
        <w:t>**BCU:** EMG — protección antivirus/EDR como control esencial</w:t>
      </w:r>
    </w:p>
    <w:p>
      <w:pPr>
        <w:ind w:left="432"/>
      </w:pPr>
      <w:r>
        <w:rPr>
          <w:i/>
          <w:color w:val="606060"/>
        </w:rPr>
        <w:t>**URCDP:** Ley 18.331 art. 10 — medida técnica obligatoria para proteger datos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Asegurar la </w:t>
      </w:r>
      <w:r>
        <w:rPr>
          <w:b/>
        </w:rPr>
        <w:t>cobertura antivirus/EDR</w:t>
      </w:r>
      <w:r>
        <w:t xml:space="preserve"> de todos los equipos y definir la respuesta ante detección de malware. Aplica a estaciones, servidores y, donde sea viable, al entorno de IA (curso AISEC-07).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Div. TI</w:t>
      </w:r>
      <w:r>
        <w:t>: despliegue, actualización y operación del antivirus/EDR.</w:t>
      </w:r>
    </w:p>
    <w:p>
      <w:pPr>
        <w:pStyle w:val="ListBullet"/>
      </w:pPr>
      <w:r>
        <w:rPr>
          <w:b/>
        </w:rPr>
        <w:t>RSI</w:t>
      </w:r>
      <w:r>
        <w:t>: define políticas, analiza alertas y coordina la respuesta.</w:t>
      </w:r>
    </w:p>
    <w:p>
      <w:pPr>
        <w:pStyle w:val="ListBullet"/>
      </w:pPr>
      <w:r>
        <w:rPr>
          <w:b/>
        </w:rPr>
        <w:t>Usuarios</w:t>
      </w:r>
      <w:r>
        <w:t>: reportan comportamiento sospechoso y no intentan "arreglar" solos.</w:t>
      </w:r>
    </w:p>
    <w:p>
      <w:pPr>
        <w:pStyle w:val="Heading2"/>
      </w:pPr>
      <w:r>
        <w:rPr>
          <w:color w:val="1F3B63"/>
        </w:rPr>
        <w:t>3. Requisitos de cobertura</w:t>
      </w:r>
    </w:p>
    <w:p>
      <w:pPr>
        <w:pStyle w:val="ListBullet"/>
      </w:pPr>
      <w:r>
        <w:t xml:space="preserve">Antivirus/EDR en </w:t>
      </w:r>
      <w:r>
        <w:rPr>
          <w:b/>
        </w:rPr>
        <w:t>el 100% de los equipos</w:t>
      </w:r>
      <w:r>
        <w:t xml:space="preserve"> gestionados; se monitorea la cobertura (equipos sin protección = hallazgo).</w:t>
      </w:r>
    </w:p>
    <w:p>
      <w:pPr>
        <w:pStyle w:val="ListBullet"/>
      </w:pPr>
      <w:r>
        <w:t>Actualizaciones de firmas automáticas; en servidores críticos, al menos [COMPLETAR: diarias].</w:t>
      </w:r>
    </w:p>
    <w:p>
      <w:pPr>
        <w:pStyle w:val="ListBullet"/>
      </w:pPr>
      <w:r>
        <w:t xml:space="preserve">El antivirus/EDR </w:t>
      </w:r>
      <w:r>
        <w:rPr>
          <w:b/>
        </w:rPr>
        <w:t>no se desactiva sin autorización del RSI</w:t>
      </w:r>
      <w:r>
        <w:t>.</w:t>
      </w:r>
    </w:p>
    <w:p>
      <w:pPr>
        <w:pStyle w:val="ListBullet"/>
      </w:pPr>
      <w:r>
        <w:t>Se define la exclusión mínima necesaria y aprobada; las excepciones se registran.</w:t>
      </w:r>
    </w:p>
    <w:p>
      <w:pPr>
        <w:pStyle w:val="Heading2"/>
      </w:pPr>
      <w:r>
        <w:rPr>
          <w:color w:val="1F3B63"/>
        </w:rPr>
        <w:t>4. Respuesta ante detección</w:t>
      </w:r>
    </w:p>
    <w:p>
      <w:pPr>
        <w:pStyle w:val="ListNumber"/>
      </w:pPr>
      <w:r>
        <w:rPr>
          <w:b/>
        </w:rPr>
        <w:t>Alerta en consola</w:t>
      </w:r>
      <w:r>
        <w:t>: el RSI o el equipo de operación la evalúa (falso positivo vs. infección real).</w:t>
      </w:r>
    </w:p>
    <w:p>
      <w:pPr>
        <w:pStyle w:val="ListNumber"/>
      </w:pPr>
      <w:r>
        <w:rPr>
          <w:b/>
        </w:rPr>
        <w:t>Cuarentena/aislamiento</w:t>
      </w:r>
      <w:r>
        <w:t>: el EDR aísla el equipo de la red automáticamente o el operador lo hace.</w:t>
      </w:r>
    </w:p>
    <w:p>
      <w:pPr>
        <w:pStyle w:val="ListNumber"/>
      </w:pPr>
      <w:r>
        <w:rPr>
          <w:b/>
        </w:rPr>
        <w:t>Análisis</w:t>
      </w:r>
      <w:r>
        <w:t>: se determina el alcance (¿se propagó?, ¿qué datos tocó?). Se abre incidente si corresponde (PRO-04).</w:t>
      </w:r>
    </w:p>
    <w:p>
      <w:pPr>
        <w:pStyle w:val="ListNumber"/>
      </w:pPr>
      <w:r>
        <w:rPr>
          <w:b/>
        </w:rPr>
        <w:t>Erradicación</w:t>
      </w:r>
      <w:r>
        <w:t>: limpieza o reinstalación del equipo con imagen limpia.</w:t>
      </w:r>
    </w:p>
    <w:p>
      <w:pPr>
        <w:pStyle w:val="ListNumber"/>
      </w:pPr>
      <w:r>
        <w:rPr>
          <w:b/>
        </w:rPr>
        <w:t>Verificación</w:t>
      </w:r>
      <w:r>
        <w:t>: se confirma la limpieza y se vigila por recaídas.</w:t>
      </w:r>
    </w:p>
    <w:p>
      <w:pPr>
        <w:pStyle w:val="ListNumber"/>
      </w:pPr>
      <w:r>
        <w:rPr>
          <w:b/>
        </w:rPr>
        <w:t>Registro</w:t>
      </w:r>
      <w:r>
        <w:t>: detección, acción, causa probable (p. ej., USB, correo, navegación) y lección.</w:t>
      </w:r>
    </w:p>
    <w:p>
      <w:pPr>
        <w:pStyle w:val="Heading2"/>
      </w:pPr>
      <w:r>
        <w:rPr>
          <w:color w:val="1F3B63"/>
        </w:rPr>
        <w:t>5. Relación con el usuario</w:t>
      </w:r>
    </w:p>
    <w:p>
      <w:pPr>
        <w:pStyle w:val="ListBullet"/>
      </w:pPr>
      <w:r>
        <w:t xml:space="preserve">El usuario que recibe alerta del antivirus </w:t>
      </w:r>
      <w:r>
        <w:rPr>
          <w:b/>
        </w:rPr>
        <w:t>avisa al RSI</w:t>
      </w:r>
      <w:r>
        <w:t xml:space="preserve"> y no apaga/desconecta sin indicación (preservar evidencia).</w:t>
      </w:r>
    </w:p>
    <w:p>
      <w:pPr>
        <w:pStyle w:val="ListBullet"/>
      </w:pPr>
      <w:r>
        <w:t xml:space="preserve">Si ve comportamiento extraño (pantalla bloqueada por ransomware, archivos cifrados), </w:t>
      </w:r>
      <w:r>
        <w:rPr>
          <w:b/>
        </w:rPr>
        <w:t>reporta de inmediato</w:t>
      </w:r>
      <w:r>
        <w:t>; no paga rescates ni reinicia solos.</w:t>
      </w:r>
    </w:p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Reporte de cobertura y estado del antivirus/EDR.</w:t>
      </w:r>
    </w:p>
    <w:p>
      <w:pPr>
        <w:pStyle w:val="ListBullet"/>
      </w:pPr>
      <w:r>
        <w:t>Registro de detecciones y acciones.</w:t>
      </w:r>
    </w:p>
    <w:p>
      <w:pPr>
        <w:pStyle w:val="ListBullet"/>
      </w:pPr>
      <w:r>
        <w:t>Excepciones autorizadas.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Equipos sin protección (desinstalado o vencido).</w:t>
      </w:r>
    </w:p>
    <w:p>
      <w:pPr>
        <w:pStyle w:val="ListBullet"/>
      </w:pPr>
      <w:r>
        <w:t>Desactivar el antivirus "por rendimiento".</w:t>
      </w:r>
    </w:p>
    <w:p>
      <w:pPr>
        <w:pStyle w:val="ListBullet"/>
      </w:pPr>
      <w:r>
        <w:t>Ignorar alertas en consola.</w:t>
      </w:r>
    </w:p>
    <w:p>
      <w:pPr>
        <w:pStyle w:val="Heading2"/>
      </w:pPr>
      <w:r>
        <w:rPr>
          <w:color w:val="1F3B63"/>
        </w:rPr>
        <w:t>8. Referencias y evidencia</w:t>
      </w:r>
    </w:p>
    <w:p>
      <w:r>
        <w:t>POL-05 · POL-06 · PRO-04 · PRO-06. Alimenta: PR-03, RS-01, ID-02.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