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F3B63"/>
          <w:sz w:val="36"/>
        </w:rPr>
        <w:t>PRO-08 · Procedimiento: Ingreso y Egreso de Personal y Terceros</w:t>
      </w:r>
    </w:p>
    <w:p>
      <w:pPr>
        <w:ind w:left="432"/>
      </w:pPr>
      <w:r>
        <w:rPr>
          <w:i/>
          <w:color w:val="606060"/>
        </w:rPr>
        <w:t>**Función del MCU 5.0:** Proteger (PR.AT — concientización; PR.AC — accesos) · Gobernar (GV.OR — recursos humanos)</w:t>
      </w:r>
    </w:p>
    <w:p>
      <w:pPr>
        <w:ind w:left="432"/>
      </w:pPr>
      <w:r>
        <w:rPr>
          <w:i/>
          <w:color w:val="606060"/>
        </w:rPr>
        <w:t>**ISO/IEC 27001:** A.6.1-A.6.2 (selección y contratación) · A.6.3 (términos y condiciones) · A.6.4 (concientización) · A.8.5 (bajas)</w:t>
      </w:r>
    </w:p>
    <w:p>
      <w:pPr>
        <w:ind w:left="432"/>
      </w:pPr>
      <w:r>
        <w:rPr>
          <w:i/>
          <w:color w:val="606060"/>
        </w:rPr>
        <w:t>**BCU:** EMG — gestión del ciclo de vida del personal con acceso a sistemas</w:t>
      </w:r>
    </w:p>
    <w:p>
      <w:pPr>
        <w:ind w:left="432"/>
      </w:pPr>
      <w:r>
        <w:rPr>
          <w:i/>
          <w:color w:val="606060"/>
        </w:rPr>
        <w:t>**URCDP:** Ley 18.331 — tratamiento de datos de los empleados; acceso mínimo de los nuevos</w:t>
      </w:r>
    </w:p>
    <w:p>
      <w:pPr>
        <w:ind w:left="432"/>
      </w:pPr>
      <w:r>
        <w:rPr>
          <w:i/>
          <w:color w:val="606060"/>
        </w:rPr>
        <w:t>**Nivel del curso:** 🟡 Practicar</w:t>
      </w:r>
    </w:p>
    <w:p>
      <w:pPr>
        <w:spacing w:before="120" w:after="120"/>
      </w:pPr>
    </w:p>
    <w:p>
      <w:pPr>
        <w:pStyle w:val="Heading2"/>
      </w:pPr>
      <w:r>
        <w:rPr>
          <w:color w:val="1F3B63"/>
        </w:rPr>
        <w:t>1. Objetivo y alcance</w:t>
      </w:r>
    </w:p>
    <w:p>
      <w:r>
        <w:t xml:space="preserve">Asegurar que </w:t>
      </w:r>
      <w:r>
        <w:rPr>
          <w:b/>
        </w:rPr>
        <w:t>todo ingreso, cambio de función y egreso</w:t>
      </w:r>
      <w:r>
        <w:t xml:space="preserve"> de personal y terceros se realice con los accesos, compromisos y retiros adecuados. Aplica a empleados, contratistas, consultores, pasantes y proveedores con acceso a sistemas o información del Banco.</w:t>
      </w:r>
    </w:p>
    <w:p>
      <w:pPr>
        <w:pStyle w:val="Heading2"/>
      </w:pPr>
      <w:r>
        <w:rPr>
          <w:color w:val="1F3B63"/>
        </w:rPr>
        <w:t>2. Responsables</w:t>
      </w:r>
    </w:p>
    <w:p>
      <w:pPr>
        <w:pStyle w:val="ListBullet"/>
      </w:pPr>
      <w:r>
        <w:rPr>
          <w:b/>
        </w:rPr>
        <w:t>RRHH</w:t>
      </w:r>
      <w:r>
        <w:t>: procesos de personal.</w:t>
      </w:r>
    </w:p>
    <w:p>
      <w:pPr>
        <w:pStyle w:val="ListBullet"/>
      </w:pPr>
      <w:r>
        <w:rPr>
          <w:b/>
        </w:rPr>
        <w:t>Div. TI</w:t>
      </w:r>
      <w:r>
        <w:t>: accesos y cuentas (ejecuta PRO-01).</w:t>
      </w:r>
    </w:p>
    <w:p>
      <w:pPr>
        <w:pStyle w:val="ListBullet"/>
      </w:pPr>
      <w:r>
        <w:rPr>
          <w:b/>
        </w:rPr>
        <w:t>RSI</w:t>
      </w:r>
      <w:r>
        <w:t>: inducción de seguridad, cláusulas y verificación de bajas.</w:t>
      </w:r>
    </w:p>
    <w:p>
      <w:pPr>
        <w:pStyle w:val="ListBullet"/>
      </w:pPr>
      <w:r>
        <w:rPr>
          <w:b/>
        </w:rPr>
        <w:t>Jefes de área</w:t>
      </w:r>
      <w:r>
        <w:t>: definen necesidades y supervisan.</w:t>
      </w:r>
    </w:p>
    <w:p>
      <w:pPr>
        <w:pStyle w:val="Heading2"/>
      </w:pPr>
      <w:r>
        <w:rPr>
          <w:color w:val="1F3B63"/>
        </w:rPr>
        <w:t>3. Desarrollo paso a paso</w:t>
      </w:r>
    </w:p>
    <w:p>
      <w:pPr>
        <w:pStyle w:val="Heading3"/>
      </w:pPr>
      <w:r>
        <w:rPr>
          <w:color w:val="1F3B63"/>
        </w:rPr>
        <w:t>3.1 Ingreso</w:t>
      </w:r>
    </w:p>
    <w:p>
      <w:pPr>
        <w:pStyle w:val="ListNumber"/>
      </w:pPr>
      <w:r>
        <w:rPr>
          <w:b/>
        </w:rPr>
        <w:t>RRHH</w:t>
      </w:r>
      <w:r>
        <w:t xml:space="preserve"> formaliza la incorporación y verifica referencias/antecedentes según el cargo.</w:t>
      </w:r>
    </w:p>
    <w:p>
      <w:pPr>
        <w:pStyle w:val="ListNumber"/>
      </w:pPr>
      <w:r>
        <w:t xml:space="preserve">El contrato / términos de empleo incluyen las </w:t>
      </w:r>
      <w:r>
        <w:rPr>
          <w:b/>
        </w:rPr>
        <w:t>cláusulas de seguridad y confidencialidad</w:t>
      </w:r>
      <w:r>
        <w:t xml:space="preserve"> (POL-04, POL-10, POL-13).</w:t>
      </w:r>
    </w:p>
    <w:p>
      <w:pPr>
        <w:pStyle w:val="ListNumber"/>
      </w:pPr>
      <w:r>
        <w:t xml:space="preserve">El </w:t>
      </w:r>
      <w:r>
        <w:rPr>
          <w:b/>
        </w:rPr>
        <w:t>jefe de área</w:t>
      </w:r>
      <w:r>
        <w:t xml:space="preserve"> define los accesos necesarios (mínimo privilegio).</w:t>
      </w:r>
    </w:p>
    <w:p>
      <w:pPr>
        <w:pStyle w:val="ListNumber"/>
      </w:pPr>
      <w:r>
        <w:rPr>
          <w:b/>
        </w:rPr>
        <w:t>Div. TI</w:t>
      </w:r>
      <w:r>
        <w:t xml:space="preserve"> crea las cuentas y credenciales (PRO-01).</w:t>
      </w:r>
    </w:p>
    <w:p>
      <w:pPr>
        <w:pStyle w:val="ListNumber"/>
      </w:pPr>
      <w:r>
        <w:rPr>
          <w:b/>
        </w:rPr>
        <w:t>RSI</w:t>
      </w:r>
      <w:r>
        <w:t xml:space="preserve"> dicta la </w:t>
      </w:r>
      <w:r>
        <w:rPr>
          <w:b/>
        </w:rPr>
        <w:t>inducción de seguridad</w:t>
      </w:r>
      <w:r>
        <w:t xml:space="preserve"> (POL-09, PRO-12): políticas, phishing, clasificación de la información, incidentes, uso de IA (POL-17).</w:t>
      </w:r>
    </w:p>
    <w:p>
      <w:pPr>
        <w:pStyle w:val="ListNumber"/>
      </w:pPr>
      <w:r>
        <w:t xml:space="preserve">El empleado </w:t>
      </w:r>
      <w:r>
        <w:rPr>
          <w:b/>
        </w:rPr>
        <w:t>firma el compromiso de confidencialidad</w:t>
      </w:r>
      <w:r>
        <w:t xml:space="preserve"> y el conocimiento de las políticas.</w:t>
      </w:r>
    </w:p>
    <w:p>
      <w:pPr>
        <w:pStyle w:val="Heading3"/>
      </w:pPr>
      <w:r>
        <w:rPr>
          <w:color w:val="1F3B63"/>
        </w:rPr>
        <w:t>3.2 Cambio de función</w:t>
      </w:r>
    </w:p>
    <w:p>
      <w:pPr>
        <w:pStyle w:val="ListNumber"/>
      </w:pPr>
      <w:r>
        <w:rPr>
          <w:b/>
        </w:rPr>
        <w:t>RRHH</w:t>
      </w:r>
      <w:r>
        <w:t xml:space="preserve"> informa el cambio.</w:t>
      </w:r>
    </w:p>
    <w:p>
      <w:pPr>
        <w:pStyle w:val="ListNumber"/>
      </w:pPr>
      <w:r>
        <w:t xml:space="preserve">El </w:t>
      </w:r>
      <w:r>
        <w:rPr>
          <w:b/>
        </w:rPr>
        <w:t>jefe de área</w:t>
      </w:r>
      <w:r>
        <w:t xml:space="preserve"> revisa los accesos a la nueva función.</w:t>
      </w:r>
    </w:p>
    <w:p>
      <w:pPr>
        <w:pStyle w:val="ListNumber"/>
      </w:pPr>
      <w:r>
        <w:rPr>
          <w:b/>
        </w:rPr>
        <w:t>Div. TI</w:t>
      </w:r>
      <w:r>
        <w:t xml:space="preserve"> ajusta los permisos (PRO-01): agrega lo necesario y </w:t>
      </w:r>
      <w:r>
        <w:rPr>
          <w:b/>
        </w:rPr>
        <w:t>revoca lo que ya no aplica</w:t>
      </w:r>
      <w:r>
        <w:t>.</w:t>
      </w:r>
    </w:p>
    <w:p>
      <w:pPr>
        <w:pStyle w:val="Heading3"/>
      </w:pPr>
      <w:r>
        <w:rPr>
          <w:color w:val="1F3B63"/>
        </w:rPr>
        <w:t>3.3 Egreso</w:t>
      </w:r>
    </w:p>
    <w:p>
      <w:pPr>
        <w:pStyle w:val="ListNumber"/>
      </w:pPr>
      <w:r>
        <w:rPr>
          <w:b/>
        </w:rPr>
        <w:t>RRHH</w:t>
      </w:r>
      <w:r>
        <w:t xml:space="preserve"> notifica el egreso con antelación y de forma confidencial (aviso interno restringido).</w:t>
      </w:r>
    </w:p>
    <w:p>
      <w:pPr>
        <w:pStyle w:val="ListNumber"/>
      </w:pPr>
      <w:r>
        <w:rPr>
          <w:b/>
        </w:rPr>
        <w:t>Div. TI revoca todos los accesos el mismo día</w:t>
      </w:r>
      <w:r>
        <w:t xml:space="preserve"> (PRO-01): sistemas, correo, VPN, nube, bases, IA.</w:t>
      </w:r>
    </w:p>
    <w:p>
      <w:pPr>
        <w:pStyle w:val="ListNumber"/>
      </w:pPr>
      <w:r>
        <w:rPr>
          <w:b/>
        </w:rPr>
        <w:t>Seguridad Física</w:t>
      </w:r>
      <w:r>
        <w:t xml:space="preserve"> recoge tarjetas de acceso y elementos de identificación.</w:t>
      </w:r>
    </w:p>
    <w:p>
      <w:pPr>
        <w:pStyle w:val="ListNumber"/>
      </w:pPr>
      <w:r>
        <w:rPr>
          <w:b/>
        </w:rPr>
        <w:t>RRHH</w:t>
      </w:r>
      <w:r>
        <w:t xml:space="preserve"> recoge equipos y devuelve lo pendiente; se verifica la destrucción de información local si corresponde (PRO-09).</w:t>
      </w:r>
    </w:p>
    <w:p>
      <w:pPr>
        <w:pStyle w:val="ListNumber"/>
      </w:pPr>
      <w:r>
        <w:t xml:space="preserve">El </w:t>
      </w:r>
      <w:r>
        <w:rPr>
          <w:b/>
        </w:rPr>
        <w:t>jefe de área</w:t>
      </w:r>
      <w:r>
        <w:t xml:space="preserve"> realiza la entrevista de salida y gestiona el traspaso de funciones.</w:t>
      </w:r>
    </w:p>
    <w:p>
      <w:pPr>
        <w:pStyle w:val="ListNumber"/>
      </w:pPr>
      <w:r>
        <w:rPr>
          <w:b/>
        </w:rPr>
        <w:t>RSI</w:t>
      </w:r>
      <w:r>
        <w:t xml:space="preserve"> confirma que no quedan accesos activos y registra.</w:t>
      </w:r>
    </w:p>
    <w:p>
      <w:pPr>
        <w:pStyle w:val="Heading3"/>
      </w:pPr>
      <w:r>
        <w:rPr>
          <w:color w:val="1F3B63"/>
        </w:rPr>
        <w:t>3.4 Terceros y proveedores</w:t>
      </w:r>
    </w:p>
    <w:p>
      <w:pPr>
        <w:pStyle w:val="ListBullet"/>
      </w:pPr>
      <w:r>
        <w:t>Aplican los mismos principios vía contrato y anexos de seguridad (POL-11).</w:t>
      </w:r>
    </w:p>
    <w:p>
      <w:pPr>
        <w:pStyle w:val="ListBullet"/>
      </w:pPr>
      <w:r>
        <w:t xml:space="preserve">Al finalizar el contrato, el proveedor </w:t>
      </w:r>
      <w:r>
        <w:rPr>
          <w:b/>
        </w:rPr>
        <w:t>devuelve o destruye</w:t>
      </w:r>
      <w:r>
        <w:t xml:space="preserve"> la información del Banco y lo acredita.</w:t>
      </w:r>
    </w:p>
    <w:p>
      <w:pPr>
        <w:pStyle w:val="Heading2"/>
      </w:pPr>
      <w:r>
        <w:rPr>
          <w:color w:val="1F3B63"/>
        </w:rPr>
        <w:t>4. Salidas y registros</w:t>
      </w:r>
    </w:p>
    <w:p>
      <w:pPr>
        <w:pStyle w:val="ListBullet"/>
      </w:pPr>
      <w:r>
        <w:t>Cláusulas y compromisos firmados.</w:t>
      </w:r>
    </w:p>
    <w:p>
      <w:pPr>
        <w:pStyle w:val="ListBullet"/>
      </w:pPr>
      <w:r>
        <w:t>Solicitudes y registros de accesos.</w:t>
      </w:r>
    </w:p>
    <w:p>
      <w:pPr>
        <w:pStyle w:val="ListBullet"/>
      </w:pPr>
      <w:r>
        <w:t>Registro de inducción y capacitación.</w:t>
      </w:r>
    </w:p>
    <w:p>
      <w:pPr>
        <w:pStyle w:val="ListBullet"/>
      </w:pPr>
      <w:r>
        <w:t>Constancia de baja y revocación.</w:t>
      </w:r>
    </w:p>
    <w:p>
      <w:pPr>
        <w:pStyle w:val="Heading2"/>
      </w:pPr>
      <w:r>
        <w:rPr>
          <w:color w:val="1F3B63"/>
        </w:rPr>
        <w:t>5. Errores comunes</w:t>
      </w:r>
    </w:p>
    <w:p>
      <w:pPr>
        <w:pStyle w:val="ListBullet"/>
      </w:pPr>
      <w:r>
        <w:t>No revocar accesos de ex empleados (incidente frecuente).</w:t>
      </w:r>
    </w:p>
    <w:p>
      <w:pPr>
        <w:pStyle w:val="ListBullet"/>
      </w:pPr>
      <w:r>
        <w:t>Inducción "por correo" sin verificación.</w:t>
      </w:r>
    </w:p>
    <w:p>
      <w:pPr>
        <w:pStyle w:val="ListBullet"/>
      </w:pPr>
      <w:r>
        <w:t>Egreso sin control de los equipos.</w:t>
      </w:r>
    </w:p>
    <w:p>
      <w:pPr>
        <w:pStyle w:val="ListBullet"/>
      </w:pPr>
      <w:r>
        <w:t>Cambios de función sin ajuste de permisos.</w:t>
      </w:r>
    </w:p>
    <w:p>
      <w:pPr>
        <w:pStyle w:val="Heading2"/>
      </w:pPr>
      <w:r>
        <w:rPr>
          <w:color w:val="1F3B63"/>
        </w:rPr>
        <w:t>6. Referencias y evidencia</w:t>
      </w:r>
    </w:p>
    <w:p>
      <w:r>
        <w:t>POL-09 · POL-10 · POL-11 · PRO-01 · PRO-02. Alimenta: PR-02, GV-02, auditorías de accesos.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