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PRO-09 · Procedimiento: Clasificación, Custodia, Retención y Destrucción de la Información</w:t>
      </w:r>
    </w:p>
    <w:p>
      <w:pPr>
        <w:ind w:left="432"/>
      </w:pPr>
      <w:r>
        <w:rPr>
          <w:i/>
          <w:color w:val="606060"/>
        </w:rPr>
        <w:t>**Función del MCU 5.0:** Gobernar (GV.OR — activos) · Proteger (PR.DS — gestión de datos)</w:t>
      </w:r>
    </w:p>
    <w:p>
      <w:pPr>
        <w:ind w:left="432"/>
      </w:pPr>
      <w:r>
        <w:rPr>
          <w:i/>
          <w:color w:val="606060"/>
        </w:rPr>
        <w:t>**ISO/IEC 27001:** A.5.9-A.5.13 (gestión de activos, clasificación, etiquetado) · A.8.2 (clasificación) · A.8.10 (borrado seguro) · A.8.11 (ocultamiento)</w:t>
      </w:r>
    </w:p>
    <w:p>
      <w:pPr>
        <w:ind w:left="432"/>
      </w:pPr>
      <w:r>
        <w:rPr>
          <w:i/>
          <w:color w:val="606060"/>
        </w:rPr>
        <w:t>**BCU:** EMG — gobierno de la información y retención según normativa</w:t>
      </w:r>
    </w:p>
    <w:p>
      <w:pPr>
        <w:ind w:left="432"/>
      </w:pPr>
      <w:r>
        <w:rPr>
          <w:i/>
          <w:color w:val="606060"/>
        </w:rPr>
        <w:t>**URCDP:** Ley 18.331 art. 9 y 20 (conservación) y Decreto 414/009 — retención limitada y destrucción segura de datos personales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Definir cómo se </w:t>
      </w:r>
      <w:r>
        <w:rPr>
          <w:b/>
        </w:rPr>
        <w:t>clasifica, etiqueta, custodia, conserva y destruye</w:t>
      </w:r>
      <w:r>
        <w:t xml:space="preserve"> la información, en cualquier formato (papel, electrónico, multimedia, modelos de IA). Aplica a todas las áreas del Banco.</w:t>
      </w:r>
    </w:p>
    <w:p>
      <w:pPr>
        <w:pStyle w:val="Heading2"/>
      </w:pPr>
      <w:r>
        <w:rPr>
          <w:color w:val="1F3B63"/>
        </w:rPr>
        <w:t>2. Clasificación (según POL-13)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Clase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Tratamiento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Público</w:t>
            </w:r>
          </w:p>
        </w:tc>
        <w:tc>
          <w:tcPr>
            <w:tcW w:type="dxa" w:w="3216"/>
          </w:tcPr>
          <w:p>
            <w:r/>
            <w:r>
              <w:t>Comunicados oficiales, informes anuales</w:t>
            </w:r>
          </w:p>
        </w:tc>
        <w:tc>
          <w:tcPr>
            <w:tcW w:type="dxa" w:w="3216"/>
          </w:tcPr>
          <w:p>
            <w:r/>
            <w:r>
              <w:t>Sin restricción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Uso interno</w:t>
            </w:r>
          </w:p>
        </w:tc>
        <w:tc>
          <w:tcPr>
            <w:tcW w:type="dxa" w:w="3216"/>
          </w:tcPr>
          <w:p>
            <w:r/>
            <w:r>
              <w:t>Procedimientos, organigramas, actas</w:t>
            </w:r>
          </w:p>
        </w:tc>
        <w:tc>
          <w:tcPr>
            <w:tcW w:type="dxa" w:w="3216"/>
          </w:tcPr>
          <w:p>
            <w:r/>
            <w:r>
              <w:t>Solo personal del Banco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Confidencial</w:t>
            </w:r>
          </w:p>
        </w:tc>
        <w:tc>
          <w:tcPr>
            <w:tcW w:type="dxa" w:w="3216"/>
          </w:tcPr>
          <w:p>
            <w:r/>
            <w:r>
              <w:t>Datos de clientes, estrategias, resultados, información financiera interna</w:t>
            </w:r>
          </w:p>
        </w:tc>
        <w:tc>
          <w:tcPr>
            <w:tcW w:type="dxa" w:w="3216"/>
          </w:tcPr>
          <w:p>
            <w:r/>
            <w:r>
              <w:t>Autorización y cifrado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Muy confidencial</w:t>
            </w:r>
          </w:p>
        </w:tc>
        <w:tc>
          <w:tcPr>
            <w:tcW w:type="dxa" w:w="3216"/>
          </w:tcPr>
          <w:p>
            <w:r/>
            <w:r>
              <w:t>Credenciales, claves de sistema, datos biométricos, información de fusiones</w:t>
            </w:r>
          </w:p>
        </w:tc>
        <w:tc>
          <w:tcPr>
            <w:tcW w:type="dxa" w:w="3216"/>
          </w:tcPr>
          <w:p>
            <w:r/>
            <w:r>
              <w:t>Mínimo acceso + cifrado + vigilancia</w:t>
            </w:r>
          </w:p>
        </w:tc>
      </w:tr>
    </w:tbl>
    <w:p>
      <w:pPr>
        <w:pStyle w:val="Heading2"/>
      </w:pPr>
      <w:r>
        <w:rPr>
          <w:color w:val="1F3B63"/>
        </w:rPr>
        <w:t>3. Etiquetado y custodia</w:t>
      </w:r>
    </w:p>
    <w:p>
      <w:pPr>
        <w:pStyle w:val="ListBullet"/>
      </w:pPr>
      <w:r>
        <w:t xml:space="preserve">Los documentos se </w:t>
      </w:r>
      <w:r>
        <w:rPr>
          <w:b/>
        </w:rPr>
        <w:t>etiquetan</w:t>
      </w:r>
      <w:r>
        <w:t xml:space="preserve"> según su clase (membrete, pie de página, metadatos).</w:t>
      </w:r>
    </w:p>
    <w:p>
      <w:pPr>
        <w:pStyle w:val="ListBullet"/>
      </w:pPr>
      <w:r>
        <w:t xml:space="preserve">La custodia sigue la regla del </w:t>
      </w:r>
      <w:r>
        <w:rPr>
          <w:b/>
        </w:rPr>
        <w:t>menor privilegio</w:t>
      </w:r>
      <w:r>
        <w:t>: solo accede quien lo necesita para su función (POL-04).</w:t>
      </w:r>
    </w:p>
    <w:p>
      <w:pPr>
        <w:pStyle w:val="ListBullet"/>
      </w:pPr>
      <w:r>
        <w:t>Los sistemas permiten restringir el acceso por clase (ACL, clasificación de documentos).</w:t>
      </w:r>
    </w:p>
    <w:p>
      <w:pPr>
        <w:pStyle w:val="Heading2"/>
      </w:pPr>
      <w:r>
        <w:rPr>
          <w:color w:val="1F3B63"/>
        </w:rPr>
        <w:t>4. Retención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Tipo de información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Plazo de retención (referencia)</w:t>
            </w:r>
          </w:p>
        </w:tc>
      </w:tr>
      <w:tr>
        <w:tc>
          <w:tcPr>
            <w:tcW w:type="dxa" w:w="4824"/>
          </w:tcPr>
          <w:p>
            <w:r/>
            <w:r>
              <w:t>Datos de clientes (operaciones, cuentas)</w:t>
            </w:r>
          </w:p>
        </w:tc>
        <w:tc>
          <w:tcPr>
            <w:tcW w:type="dxa" w:w="4824"/>
          </w:tcPr>
          <w:p>
            <w:r/>
            <w:r>
              <w:t>Según normativa BCU y Código de Comercio (p. ej., 10 años para operaciones financieras)</w:t>
            </w:r>
          </w:p>
        </w:tc>
      </w:tr>
      <w:tr>
        <w:tc>
          <w:tcPr>
            <w:tcW w:type="dxa" w:w="4824"/>
          </w:tcPr>
          <w:p>
            <w:r/>
            <w:r>
              <w:t>Datos personales de empleados</w:t>
            </w:r>
          </w:p>
        </w:tc>
        <w:tc>
          <w:tcPr>
            <w:tcW w:type="dxa" w:w="4824"/>
          </w:tcPr>
          <w:p>
            <w:r/>
            <w:r>
              <w:t>Mientras dure la relación y el plazo legal laboral</w:t>
            </w:r>
          </w:p>
        </w:tc>
      </w:tr>
      <w:tr>
        <w:tc>
          <w:tcPr>
            <w:tcW w:type="dxa" w:w="4824"/>
          </w:tcPr>
          <w:p>
            <w:r/>
            <w:r>
              <w:t>Correos y documentos administrativos</w:t>
            </w:r>
          </w:p>
        </w:tc>
        <w:tc>
          <w:tcPr>
            <w:tcW w:type="dxa" w:w="4824"/>
          </w:tcPr>
          <w:p>
            <w:r/>
            <w:r>
              <w:t>Según política de archivo [COMPLETAR]</w:t>
            </w:r>
          </w:p>
        </w:tc>
      </w:tr>
      <w:tr>
        <w:tc>
          <w:tcPr>
            <w:tcW w:type="dxa" w:w="4824"/>
          </w:tcPr>
          <w:p>
            <w:r/>
            <w:r>
              <w:t>Registros de seguridad (logs, accesos)</w:t>
            </w:r>
          </w:p>
        </w:tc>
        <w:tc>
          <w:tcPr>
            <w:tcW w:type="dxa" w:w="4824"/>
          </w:tcPr>
          <w:p>
            <w:r/>
            <w:r>
              <w:t>[COMPLETAR: 6 meses-1 año]</w:t>
            </w:r>
          </w:p>
        </w:tc>
      </w:tr>
      <w:tr>
        <w:tc>
          <w:tcPr>
            <w:tcW w:type="dxa" w:w="4824"/>
          </w:tcPr>
          <w:p>
            <w:r/>
            <w:r>
              <w:t>Datos con finalidad cumplida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Eliminar</w:t>
            </w:r>
            <w:r>
              <w:t xml:space="preserve"> o </w:t>
            </w:r>
            <w:r>
              <w:rPr>
                <w:b/>
              </w:rPr>
              <w:t>anonimizar</w:t>
            </w:r>
          </w:p>
        </w:tc>
      </w:tr>
    </w:tbl>
    <w:p>
      <w:pPr>
        <w:pStyle w:val="ListBullet"/>
      </w:pPr>
      <w:r>
        <w:t>El plazo se aplica desde el cierre del trámite; se revisa el inventario de forma periódica.</w:t>
      </w:r>
    </w:p>
    <w:p>
      <w:pPr>
        <w:pStyle w:val="Heading2"/>
      </w:pPr>
      <w:r>
        <w:rPr>
          <w:color w:val="1F3B63"/>
        </w:rPr>
        <w:t>5. Destrucción segura</w:t>
      </w:r>
    </w:p>
    <w:p>
      <w:pPr>
        <w:pStyle w:val="ListBullet"/>
      </w:pPr>
      <w:r>
        <w:rPr>
          <w:b/>
        </w:rPr>
        <w:t>Papel (confidencial o mayor)</w:t>
      </w:r>
      <w:r>
        <w:t>: trituradora de seguridad (nivel ≥ [COMPLETAR: P-4]) o empresa certificada con certificado de destrucción.</w:t>
      </w:r>
    </w:p>
    <w:p>
      <w:pPr>
        <w:pStyle w:val="ListBullet"/>
      </w:pPr>
      <w:r>
        <w:rPr>
          <w:b/>
        </w:rPr>
        <w:t>Electrónico</w:t>
      </w:r>
      <w:r>
        <w:t xml:space="preserve">: borrado seguro (sobrescritura/DOD) o </w:t>
      </w:r>
      <w:r>
        <w:rPr>
          <w:b/>
        </w:rPr>
        <w:t>destrucción física</w:t>
      </w:r>
      <w:r>
        <w:t xml:space="preserve"> del disco para MUY CONFIDENCIALES (POL-14).</w:t>
      </w:r>
    </w:p>
    <w:p>
      <w:pPr>
        <w:pStyle w:val="ListBullet"/>
      </w:pPr>
      <w:r>
        <w:rPr>
          <w:b/>
        </w:rPr>
        <w:t>Dispositivos</w:t>
      </w:r>
      <w:r>
        <w:t>: el retiro de equipos incluye borrado o destrucción según su contenido (PRO-03).</w:t>
      </w:r>
    </w:p>
    <w:p>
      <w:pPr>
        <w:pStyle w:val="ListBullet"/>
      </w:pPr>
      <w:r>
        <w:rPr>
          <w:b/>
        </w:rPr>
        <w:t>Nube/IA</w:t>
      </w:r>
      <w:r>
        <w:t>: se eliminan los datos y se pide la eliminación certificada al proveedor (POL-19); se verifica el cumplimiento.</w:t>
      </w:r>
    </w:p>
    <w:p>
      <w:pPr>
        <w:pStyle w:val="Heading2"/>
      </w:pPr>
      <w:r>
        <w:rPr>
          <w:color w:val="1F3B63"/>
        </w:rPr>
        <w:t>6. Desarrollo paso a paso</w:t>
      </w:r>
    </w:p>
    <w:p>
      <w:pPr>
        <w:pStyle w:val="ListNumber"/>
      </w:pPr>
      <w:r>
        <w:t xml:space="preserve">El </w:t>
      </w:r>
      <w:r>
        <w:rPr>
          <w:b/>
        </w:rPr>
        <w:t>dueño del activo</w:t>
      </w:r>
      <w:r>
        <w:t xml:space="preserve"> clasifica la información en el inventario (POL-03).</w:t>
      </w:r>
    </w:p>
    <w:p>
      <w:pPr>
        <w:pStyle w:val="ListNumber"/>
      </w:pPr>
      <w:r>
        <w:t xml:space="preserve">El </w:t>
      </w:r>
      <w:r>
        <w:rPr>
          <w:b/>
        </w:rPr>
        <w:t>sistema o el área</w:t>
      </w:r>
      <w:r>
        <w:t xml:space="preserve"> aplica el etiquetado y las restricciones de acceso.</w:t>
      </w:r>
    </w:p>
    <w:p>
      <w:pPr>
        <w:pStyle w:val="ListNumber"/>
      </w:pPr>
      <w:r>
        <w:t xml:space="preserve">Al vencer la retención, el </w:t>
      </w:r>
      <w:r>
        <w:rPr>
          <w:b/>
        </w:rPr>
        <w:t>dueño</w:t>
      </w:r>
      <w:r>
        <w:t xml:space="preserve"> revisa y decide: </w:t>
      </w:r>
      <w:r>
        <w:rPr>
          <w:b/>
        </w:rPr>
        <w:t>destruir</w:t>
      </w:r>
      <w:r>
        <w:t xml:space="preserve"> o </w:t>
      </w:r>
      <w:r>
        <w:rPr>
          <w:b/>
        </w:rPr>
        <w:t>conservar</w:t>
      </w:r>
      <w:r>
        <w:t xml:space="preserve"> con justificación.</w:t>
      </w:r>
    </w:p>
    <w:p>
      <w:pPr>
        <w:pStyle w:val="ListNumber"/>
      </w:pPr>
      <w:r>
        <w:rPr>
          <w:b/>
        </w:rPr>
        <w:t>Div. TI</w:t>
      </w:r>
      <w:r>
        <w:t xml:space="preserve"> ejecuta la destrucción electrónica y la registra (certificado).</w:t>
      </w:r>
    </w:p>
    <w:p>
      <w:pPr>
        <w:pStyle w:val="ListNumber"/>
      </w:pPr>
      <w:r>
        <w:t>La destrucción de datos personales se registra como evidencia (POL-20).</w:t>
      </w:r>
    </w:p>
    <w:p>
      <w:pPr>
        <w:pStyle w:val="Heading2"/>
      </w:pPr>
      <w:r>
        <w:rPr>
          <w:color w:val="1F3B63"/>
        </w:rPr>
        <w:t>7. Salidas y registros</w:t>
      </w:r>
    </w:p>
    <w:p>
      <w:pPr>
        <w:pStyle w:val="ListBullet"/>
      </w:pPr>
      <w:r>
        <w:t>Inventario de activos clasificados (ID-01).</w:t>
      </w:r>
    </w:p>
    <w:p>
      <w:pPr>
        <w:pStyle w:val="ListBullet"/>
      </w:pPr>
      <w:r>
        <w:t>Certificados de destrucción.</w:t>
      </w:r>
    </w:p>
    <w:p>
      <w:pPr>
        <w:pStyle w:val="ListBullet"/>
      </w:pPr>
      <w:r>
        <w:t>Registro de retención y revisiones.</w:t>
      </w:r>
    </w:p>
    <w:p>
      <w:pPr>
        <w:pStyle w:val="Heading2"/>
      </w:pPr>
      <w:r>
        <w:rPr>
          <w:color w:val="1F3B63"/>
        </w:rPr>
        <w:t>8. Errores comunes</w:t>
      </w:r>
    </w:p>
    <w:p>
      <w:pPr>
        <w:pStyle w:val="ListBullet"/>
      </w:pPr>
      <w:r>
        <w:t>Clasificar "por defecto" sin criterio (todo Uso interno).</w:t>
      </w:r>
    </w:p>
    <w:p>
      <w:pPr>
        <w:pStyle w:val="ListBullet"/>
      </w:pPr>
      <w:r>
        <w:t>No aplicar retención (guardar todo para siempre).</w:t>
      </w:r>
    </w:p>
    <w:p>
      <w:pPr>
        <w:pStyle w:val="ListBullet"/>
      </w:pPr>
      <w:r>
        <w:t>Descartar papel sin triturar.</w:t>
      </w:r>
    </w:p>
    <w:p>
      <w:pPr>
        <w:pStyle w:val="ListBullet"/>
      </w:pPr>
      <w:r>
        <w:t>Reciclar equipos sin borrado seguro.</w:t>
      </w:r>
    </w:p>
    <w:p>
      <w:pPr>
        <w:pStyle w:val="Heading2"/>
      </w:pPr>
      <w:r>
        <w:rPr>
          <w:color w:val="1F3B63"/>
        </w:rPr>
        <w:t>9. Referencias y evidencia</w:t>
      </w:r>
    </w:p>
    <w:p>
      <w:r>
        <w:t>POL-03 · POL-13 · POL-14 · POL-20. Alimenta: ID-01, URCDP-01, auditorías.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