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PRO-10 · Procedimiento: Desarrollo Seguro de Software y Código con IA</w:t>
      </w:r>
    </w:p>
    <w:p>
      <w:pPr>
        <w:ind w:left="432"/>
      </w:pPr>
      <w:r>
        <w:rPr>
          <w:i/>
          <w:color w:val="606060"/>
        </w:rPr>
        <w:t>**Función del MCU 5.0:** Proteger (PR.IP — ciclo de vida seguro) · Gobernar (GV.OR)</w:t>
      </w:r>
    </w:p>
    <w:p>
      <w:pPr>
        <w:ind w:left="432"/>
      </w:pPr>
      <w:r>
        <w:rPr>
          <w:i/>
          <w:color w:val="606060"/>
        </w:rPr>
        <w:t>**ISO/IEC 27001:** A.8.24-A.8.31 (seguridad en el desarrollo y ciclo de vida) · A.8.28 (código seguro)</w:t>
      </w:r>
    </w:p>
    <w:p>
      <w:pPr>
        <w:ind w:left="432"/>
      </w:pPr>
      <w:r>
        <w:rPr>
          <w:i/>
          <w:color w:val="606060"/>
        </w:rPr>
        <w:t>**BCU:** EMG / RNRCSF — el desarrollo de software de producción debe cumplir estándares de seguridad</w:t>
      </w:r>
    </w:p>
    <w:p>
      <w:pPr>
        <w:ind w:left="432"/>
      </w:pPr>
      <w:r>
        <w:rPr>
          <w:i/>
          <w:color w:val="606060"/>
        </w:rPr>
        <w:t>**URCDP:** Ley 18.331 art. 10 — el software que trata datos personales debe ser seguro por diseño</w:t>
      </w:r>
    </w:p>
    <w:p>
      <w:pPr>
        <w:ind w:left="432"/>
      </w:pPr>
      <w:r>
        <w:rPr>
          <w:i/>
          <w:color w:val="606060"/>
        </w:rPr>
        <w:t>**Nivel del curso:** 🔴 Dominar (ampliado con el curso `curso-ia-segura`)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Garantizar que el </w:t>
      </w:r>
      <w:r>
        <w:rPr>
          <w:b/>
        </w:rPr>
        <w:t>software desarrollado, modificado o adquirido</w:t>
      </w:r>
      <w:r>
        <w:t xml:space="preserve"> por el Banco cumpla requisitos de seguridad desde el diseño hasta la producción, incluyendo el </w:t>
      </w:r>
      <w:r>
        <w:rPr>
          <w:b/>
        </w:rPr>
        <w:t>código asistido o generado por IA</w:t>
      </w:r>
      <w:r>
        <w:t xml:space="preserve"> (POL-17). Aplica al desarrollo interno, integraciones y proveedores.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Desarrollo (Div. TI / DevOps)</w:t>
      </w:r>
      <w:r>
        <w:t>: implementa los controles.</w:t>
      </w:r>
    </w:p>
    <w:p>
      <w:pPr>
        <w:pStyle w:val="ListBullet"/>
      </w:pPr>
      <w:r>
        <w:rPr>
          <w:b/>
        </w:rPr>
        <w:t>RSI</w:t>
      </w:r>
      <w:r>
        <w:t>: define requisitos, revisa y aprueba la entrada a producción.</w:t>
      </w:r>
    </w:p>
    <w:p>
      <w:pPr>
        <w:pStyle w:val="ListBullet"/>
      </w:pPr>
      <w:r>
        <w:rPr>
          <w:b/>
        </w:rPr>
        <w:t>Dueños del negocio</w:t>
      </w:r>
      <w:r>
        <w:t>: validan requisitos funcionales y de seguridad.</w:t>
      </w:r>
    </w:p>
    <w:p>
      <w:pPr>
        <w:pStyle w:val="ListBullet"/>
      </w:pPr>
      <w:r>
        <w:rPr>
          <w:b/>
        </w:rPr>
        <w:t>DPD</w:t>
      </w:r>
      <w:r>
        <w:t>: revisa los tratamientos de datos personales en la solución (POL-20).</w:t>
      </w:r>
    </w:p>
    <w:p>
      <w:pPr>
        <w:pStyle w:val="Heading2"/>
      </w:pPr>
      <w:r>
        <w:rPr>
          <w:color w:val="1F3B63"/>
        </w:rPr>
        <w:t>3. Requisitos de seguridad en el ciclo de vida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Controles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Diseño</w:t>
            </w:r>
          </w:p>
        </w:tc>
        <w:tc>
          <w:tcPr>
            <w:tcW w:type="dxa" w:w="4824"/>
          </w:tcPr>
          <w:p>
            <w:r/>
            <w:r>
              <w:t>Modelado de amenazas; requisitos de seguridad; revisión de datos personales (privacidad por diseño)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Desarrollo</w:t>
            </w:r>
          </w:p>
        </w:tc>
        <w:tc>
          <w:tcPr>
            <w:tcW w:type="dxa" w:w="4824"/>
          </w:tcPr>
          <w:p>
            <w:r/>
            <w:r>
              <w:t>Guías de codificación segura; análisis estático (SAST); análisis de dependencias (SCA); código generado por IA revisado (POL-17, AISEC-11)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Pruebas</w:t>
            </w:r>
          </w:p>
        </w:tc>
        <w:tc>
          <w:tcPr>
            <w:tcW w:type="dxa" w:w="4824"/>
          </w:tcPr>
          <w:p>
            <w:r/>
            <w:r>
              <w:t>Pruebas de seguridad (DAST), revisión manual, pruebas de datos no reales (anonimizados)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Pre-producción</w:t>
            </w:r>
          </w:p>
        </w:tc>
        <w:tc>
          <w:tcPr>
            <w:tcW w:type="dxa" w:w="4824"/>
          </w:tcPr>
          <w:p>
            <w:r/>
            <w:r>
              <w:t>Escaneo de vulnerabilidades, gestión de secretos, revisión del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Producción</w:t>
            </w:r>
          </w:p>
        </w:tc>
        <w:tc>
          <w:tcPr>
            <w:tcW w:type="dxa" w:w="4824"/>
          </w:tcPr>
          <w:p>
            <w:r/>
            <w:r>
              <w:t>Configuración segura (PRO-03), monitoreo (POL-06), versionado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Retiro</w:t>
            </w:r>
          </w:p>
        </w:tc>
        <w:tc>
          <w:tcPr>
            <w:tcW w:type="dxa" w:w="4824"/>
          </w:tcPr>
          <w:p>
            <w:r/>
            <w:r>
              <w:t>Borrado seguro de datos (PRO-09)</w:t>
            </w:r>
          </w:p>
        </w:tc>
      </w:tr>
    </w:tbl>
    <w:p>
      <w:pPr>
        <w:pStyle w:val="Heading2"/>
      </w:pPr>
      <w:r>
        <w:rPr>
          <w:color w:val="1F3B63"/>
        </w:rPr>
        <w:t>4. Reglas obligatorias</w:t>
      </w:r>
    </w:p>
    <w:p>
      <w:pPr>
        <w:pStyle w:val="ListBullet"/>
      </w:pPr>
      <w:r>
        <w:rPr>
          <w:b/>
        </w:rPr>
        <w:t>No se utilizan datos reales de clientes</w:t>
      </w:r>
      <w:r>
        <w:t xml:space="preserve"> en entornos de desarrollo ni pruebas: se usan datos sintéticos o anonimizados.</w:t>
      </w:r>
    </w:p>
    <w:p>
      <w:pPr>
        <w:pStyle w:val="ListBullet"/>
      </w:pPr>
      <w:r>
        <w:rPr>
          <w:b/>
        </w:rPr>
        <w:t>Secretos y credenciales</w:t>
      </w:r>
      <w:r>
        <w:t xml:space="preserve"> no se incluyen en el código ni en repositorios; se gestionan con bóveda de secretos.</w:t>
      </w:r>
    </w:p>
    <w:p>
      <w:pPr>
        <w:pStyle w:val="ListBullet"/>
      </w:pPr>
      <w:r>
        <w:t xml:space="preserve">Todo cambio pasa por </w:t>
      </w:r>
      <w:r>
        <w:rPr>
          <w:b/>
        </w:rPr>
        <w:t>control de versiones, revisión y revisión de seguridad</w:t>
      </w:r>
      <w:r>
        <w:t xml:space="preserve"> antes de producción (POL-15).</w:t>
      </w:r>
    </w:p>
    <w:p>
      <w:pPr>
        <w:pStyle w:val="ListBullet"/>
      </w:pPr>
      <w:r>
        <w:rPr>
          <w:b/>
        </w:rPr>
        <w:t>Código generado por IA</w:t>
      </w:r>
      <w:r>
        <w:t>: se revisa manualmente y se escanea (SAST) como cualquier código; el desarrollador responde por su contenido (POL-17, AISEC-11/AISEC-12).</w:t>
      </w:r>
    </w:p>
    <w:p>
      <w:pPr>
        <w:pStyle w:val="ListBullet"/>
      </w:pPr>
      <w:r>
        <w:t xml:space="preserve">Las </w:t>
      </w:r>
      <w:r>
        <w:rPr>
          <w:b/>
        </w:rPr>
        <w:t>librerías</w:t>
      </w:r>
      <w:r>
        <w:t xml:space="preserve"> se mantienen actualizadas y sin vulnerabilidades conocidas (PRO-06).</w:t>
      </w:r>
    </w:p>
    <w:p>
      <w:pPr>
        <w:pStyle w:val="ListBullet"/>
      </w:pPr>
      <w:r>
        <w:t xml:space="preserve">Las aplicaciones web cumplen </w:t>
      </w:r>
      <w:r>
        <w:rPr>
          <w:b/>
        </w:rPr>
        <w:t>OWASP ASVS</w:t>
      </w:r>
      <w:r>
        <w:t xml:space="preserve"> y controles de framework (autenticación, autorización, validación, codificación de salida).</w:t>
      </w:r>
    </w:p>
    <w:p>
      <w:pPr>
        <w:pStyle w:val="ListBullet"/>
      </w:pPr>
      <w:r>
        <w:t xml:space="preserve">El software adquirido pasa la </w:t>
      </w:r>
      <w:r>
        <w:rPr>
          <w:b/>
        </w:rPr>
        <w:t>evaluación de seguridad del proveedor</w:t>
      </w:r>
      <w:r>
        <w:t xml:space="preserve"> (POL-11, PRO-13).</w:t>
      </w:r>
    </w:p>
    <w:p>
      <w:pPr>
        <w:pStyle w:val="Heading2"/>
      </w:pPr>
      <w:r>
        <w:rPr>
          <w:color w:val="1F3B63"/>
        </w:rPr>
        <w:t>5. Desarrollo paso a paso (flujo básico)</w:t>
      </w:r>
    </w:p>
    <w:p>
      <w:pPr>
        <w:pStyle w:val="ListNumber"/>
      </w:pPr>
      <w:r>
        <w:t xml:space="preserve">El </w:t>
      </w:r>
      <w:r>
        <w:rPr>
          <w:b/>
        </w:rPr>
        <w:t>dueño</w:t>
      </w:r>
      <w:r>
        <w:t xml:space="preserve"> solicita el desarrollo con requisitos funcionales y de seguridad.</w:t>
      </w:r>
    </w:p>
    <w:p>
      <w:pPr>
        <w:pStyle w:val="ListNumber"/>
      </w:pPr>
      <w:r>
        <w:rPr>
          <w:b/>
        </w:rPr>
        <w:t>RSI/Arquitectura</w:t>
      </w:r>
      <w:r>
        <w:t xml:space="preserve"> revisa el diseño y el modelado de amenazas.</w:t>
      </w:r>
    </w:p>
    <w:p>
      <w:pPr>
        <w:pStyle w:val="ListNumber"/>
      </w:pPr>
      <w:r>
        <w:rPr>
          <w:b/>
        </w:rPr>
        <w:t>Desarrollo</w:t>
      </w:r>
      <w:r>
        <w:t xml:space="preserve"> codifica con las guías seguras (y con herramientas de IA solo aprobadas — POL-17).</w:t>
      </w:r>
    </w:p>
    <w:p>
      <w:pPr>
        <w:pStyle w:val="ListNumber"/>
      </w:pPr>
      <w:r>
        <w:t xml:space="preserve">El equipo ejecuta </w:t>
      </w:r>
      <w:r>
        <w:rPr>
          <w:b/>
        </w:rPr>
        <w:t>SAST, SCA y pruebas de seguridad</w:t>
      </w:r>
      <w:r>
        <w:t>; corrige los hallazgos.</w:t>
      </w:r>
    </w:p>
    <w:p>
      <w:pPr>
        <w:pStyle w:val="ListNumber"/>
      </w:pPr>
      <w:r>
        <w:rPr>
          <w:b/>
        </w:rPr>
        <w:t>Revisión de código</w:t>
      </w:r>
      <w:r>
        <w:t xml:space="preserve"> (pares) y aprobación del </w:t>
      </w:r>
      <w:r>
        <w:rPr>
          <w:b/>
        </w:rPr>
        <w:t>RSI</w:t>
      </w:r>
      <w:r>
        <w:t xml:space="preserve"> para pasar a pruebas.</w:t>
      </w:r>
    </w:p>
    <w:p>
      <w:pPr>
        <w:pStyle w:val="ListNumber"/>
      </w:pPr>
      <w:r>
        <w:rPr>
          <w:b/>
        </w:rPr>
        <w:t>QA</w:t>
      </w:r>
      <w:r>
        <w:t xml:space="preserve"> prueba con datos anonimizados; </w:t>
      </w:r>
      <w:r>
        <w:rPr>
          <w:b/>
        </w:rPr>
        <w:t>RSI</w:t>
      </w:r>
      <w:r>
        <w:t xml:space="preserve"> realiza pruebas de seguridad finales.</w:t>
      </w:r>
    </w:p>
    <w:p>
      <w:pPr>
        <w:pStyle w:val="ListNumber"/>
      </w:pPr>
      <w:r>
        <w:rPr>
          <w:b/>
        </w:rPr>
        <w:t>Publicación</w:t>
      </w:r>
      <w:r>
        <w:t xml:space="preserve"> con control de versiones y despliegue supervisado.</w:t>
      </w:r>
    </w:p>
    <w:p>
      <w:pPr>
        <w:pStyle w:val="ListNumber"/>
      </w:pPr>
      <w:r>
        <w:t xml:space="preserve">Registro de la </w:t>
      </w:r>
      <w:r>
        <w:rPr>
          <w:b/>
        </w:rPr>
        <w:t>decisión de aprobación</w:t>
      </w:r>
      <w:r>
        <w:t xml:space="preserve"> de entrada a producción.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Requisitos y diseño de seguridad.</w:t>
      </w:r>
    </w:p>
    <w:p>
      <w:pPr>
        <w:pStyle w:val="ListBullet"/>
      </w:pPr>
      <w:r>
        <w:t>Resultados de SAST/DAST/SCA y su remediación.</w:t>
      </w:r>
    </w:p>
    <w:p>
      <w:pPr>
        <w:pStyle w:val="ListBullet"/>
      </w:pPr>
      <w:r>
        <w:t>Registro de aprobación de entrada a producción.</w:t>
      </w:r>
    </w:p>
    <w:p>
      <w:pPr>
        <w:pStyle w:val="ListBullet"/>
      </w:pPr>
      <w:r>
        <w:t>Inventario de aplicaciones y versiones.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Publicar con vulnerabilidades conocidas "por urgencia".</w:t>
      </w:r>
    </w:p>
    <w:p>
      <w:pPr>
        <w:pStyle w:val="ListBullet"/>
      </w:pPr>
      <w:r>
        <w:t>Datos de producción en pruebas.</w:t>
      </w:r>
    </w:p>
    <w:p>
      <w:pPr>
        <w:pStyle w:val="ListBullet"/>
      </w:pPr>
      <w:r>
        <w:t>Código de IA sin revisar ni escanear.</w:t>
      </w:r>
    </w:p>
    <w:p>
      <w:pPr>
        <w:pStyle w:val="ListBullet"/>
      </w:pPr>
      <w:r>
        <w:t>Secretos en repositorios.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POL-15 · POL-17 · POL-19 · PRO-06 · PRO-13. Alimenta: PR-03, curso AISEC-11/AISEC-12.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