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PRO-11 · Procedimiento: Control de Cambios y Gestión de Configuración</w:t>
      </w:r>
    </w:p>
    <w:p>
      <w:pPr>
        <w:ind w:left="432"/>
      </w:pPr>
      <w:r>
        <w:rPr>
          <w:i/>
          <w:color w:val="606060"/>
        </w:rPr>
        <w:t>**Función del MCU 5.0:** Gobernar (GV.OR — gestión del cambio) · Proteger (PR.IP — cambios controlados)</w:t>
      </w:r>
    </w:p>
    <w:p>
      <w:pPr>
        <w:ind w:left="432"/>
      </w:pPr>
      <w:r>
        <w:rPr>
          <w:i/>
          <w:color w:val="606060"/>
        </w:rPr>
        <w:t>**ISO/IEC 27001:** A.8.31 (gestión de cambios) · A.8.32 (gestión del cambio en TI) · A.8.9 (configuración)</w:t>
      </w:r>
    </w:p>
    <w:p>
      <w:pPr>
        <w:ind w:left="432"/>
      </w:pPr>
      <w:r>
        <w:rPr>
          <w:i/>
          <w:color w:val="606060"/>
        </w:rPr>
        <w:t>**BCU:** EMG — el cambio de sistemas se gestiona con aprobación y trazabilidad</w:t>
      </w:r>
    </w:p>
    <w:p>
      <w:pPr>
        <w:ind w:left="432"/>
      </w:pPr>
      <w:r>
        <w:rPr>
          <w:i/>
          <w:color w:val="606060"/>
        </w:rPr>
        <w:t>**URCDP:** Ley 18.331 art. 10 — los cambios no pueden debilitar la protección de datos</w:t>
      </w:r>
    </w:p>
    <w:p>
      <w:pPr>
        <w:ind w:left="432"/>
      </w:pPr>
      <w:r>
        <w:rPr>
          <w:i/>
          <w:color w:val="606060"/>
        </w:rPr>
        <w:t>**Nivel del curso:** 🟡 Practicar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Objetivo y alcance</w:t>
      </w:r>
    </w:p>
    <w:p>
      <w:r>
        <w:t xml:space="preserve">Garantizar que </w:t>
      </w:r>
      <w:r>
        <w:rPr>
          <w:b/>
        </w:rPr>
        <w:t>todo cambio</w:t>
      </w:r>
      <w:r>
        <w:t xml:space="preserve"> en sistemas, configuración, aplicaciones, red, nube o entorno de IA se </w:t>
      </w:r>
      <w:r>
        <w:rPr>
          <w:b/>
        </w:rPr>
        <w:t>planifique, pruebe, apruebe, implemente y registre</w:t>
      </w:r>
      <w:r>
        <w:t>, minimizando fallas y regresiones. Aplica a producción y entornos de prueba relevantes.</w:t>
      </w:r>
    </w:p>
    <w:p>
      <w:pPr>
        <w:pStyle w:val="Heading2"/>
      </w:pPr>
      <w:r>
        <w:rPr>
          <w:color w:val="1F3B63"/>
        </w:rPr>
        <w:t>2. Responsables</w:t>
      </w:r>
    </w:p>
    <w:p>
      <w:pPr>
        <w:pStyle w:val="ListBullet"/>
      </w:pPr>
      <w:r>
        <w:rPr>
          <w:b/>
        </w:rPr>
        <w:t>Solicitante</w:t>
      </w:r>
      <w:r>
        <w:t>: describe el cambio y su justificación.</w:t>
      </w:r>
    </w:p>
    <w:p>
      <w:pPr>
        <w:pStyle w:val="ListBullet"/>
      </w:pPr>
      <w:r>
        <w:rPr>
          <w:b/>
        </w:rPr>
        <w:t>Dueño del sistema</w:t>
      </w:r>
      <w:r>
        <w:t>: aprueba el cambio de negocio.</w:t>
      </w:r>
    </w:p>
    <w:p>
      <w:pPr>
        <w:pStyle w:val="ListBullet"/>
      </w:pPr>
      <w:r>
        <w:rPr>
          <w:b/>
        </w:rPr>
        <w:t>Div. TI / DevOps</w:t>
      </w:r>
      <w:r>
        <w:t>: implementa el cambio.</w:t>
      </w:r>
    </w:p>
    <w:p>
      <w:pPr>
        <w:pStyle w:val="ListBullet"/>
      </w:pPr>
      <w:r>
        <w:rPr>
          <w:b/>
        </w:rPr>
        <w:t>RSI</w:t>
      </w:r>
      <w:r>
        <w:t>: evalúa el impacto en seguridad y aprueba los cambios sensibles.</w:t>
      </w:r>
    </w:p>
    <w:p>
      <w:pPr>
        <w:pStyle w:val="ListBullet"/>
      </w:pPr>
      <w:r>
        <w:rPr>
          <w:b/>
        </w:rPr>
        <w:t>Comité de Cambios (CAB)</w:t>
      </w:r>
      <w:r>
        <w:t>: aprueba los cambios de mayor riesgo.</w:t>
      </w:r>
    </w:p>
    <w:p>
      <w:pPr>
        <w:pStyle w:val="Heading2"/>
      </w:pPr>
      <w:r>
        <w:rPr>
          <w:color w:val="1F3B63"/>
        </w:rPr>
        <w:t>3. Clasificación de cambios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Ejemplo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Proceso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Rutinario</w:t>
            </w:r>
            <w:r>
              <w:t xml:space="preserve"> (standard)</w:t>
            </w:r>
          </w:p>
        </w:tc>
        <w:tc>
          <w:tcPr>
            <w:tcW w:type="dxa" w:w="3216"/>
          </w:tcPr>
          <w:p>
            <w:r/>
            <w:r>
              <w:t>Aplicación de parche de seguridad aprobado</w:t>
            </w:r>
          </w:p>
        </w:tc>
        <w:tc>
          <w:tcPr>
            <w:tcW w:type="dxa" w:w="3216"/>
          </w:tcPr>
          <w:p>
            <w:r/>
            <w:r>
              <w:t>Conocido, aprobación previa genérica, se ejecuta y se registra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Normal</w:t>
            </w:r>
          </w:p>
        </w:tc>
        <w:tc>
          <w:tcPr>
            <w:tcW w:type="dxa" w:w="3216"/>
          </w:tcPr>
          <w:p>
            <w:r/>
            <w:r>
              <w:t>Nueva funcionalidad, actualización de software</w:t>
            </w:r>
          </w:p>
        </w:tc>
        <w:tc>
          <w:tcPr>
            <w:tcW w:type="dxa" w:w="3216"/>
          </w:tcPr>
          <w:p>
            <w:r/>
            <w:r>
              <w:t>Solicitud, prueba, aprobación del CAB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Emergencia</w:t>
            </w:r>
          </w:p>
        </w:tc>
        <w:tc>
          <w:tcPr>
            <w:tcW w:type="dxa" w:w="3216"/>
          </w:tcPr>
          <w:p>
            <w:r/>
            <w:r>
              <w:t>Corrección de incidente crítico</w:t>
            </w:r>
          </w:p>
        </w:tc>
        <w:tc>
          <w:tcPr>
            <w:tcW w:type="dxa" w:w="3216"/>
          </w:tcPr>
          <w:p>
            <w:r/>
            <w:r>
              <w:t>Aprobación acelerada (2 personas), se documenta después</w:t>
            </w:r>
          </w:p>
        </w:tc>
      </w:tr>
    </w:tbl>
    <w:p>
      <w:pPr>
        <w:pStyle w:val="Heading2"/>
      </w:pPr>
      <w:r>
        <w:rPr>
          <w:color w:val="1F3B63"/>
        </w:rPr>
        <w:t>4. Desarrollo paso a paso</w:t>
      </w:r>
    </w:p>
    <w:p>
      <w:pPr>
        <w:pStyle w:val="ListNumber"/>
      </w:pPr>
      <w:r>
        <w:rPr>
          <w:b/>
        </w:rPr>
        <w:t>Solicitud</w:t>
      </w:r>
      <w:r>
        <w:t>: se describe el cambio, su motivo, impacto esperado, riesgo y plan de retorno (rollback).</w:t>
      </w:r>
    </w:p>
    <w:p>
      <w:pPr>
        <w:pStyle w:val="ListNumber"/>
      </w:pPr>
      <w:r>
        <w:rPr>
          <w:b/>
        </w:rPr>
        <w:t>Evaluación</w:t>
      </w:r>
      <w:r>
        <w:t>: impacto funcional, técnico y de seguridad (¿expone datos?, ¿abre puertos?, ¿cambia accesos?). El RSI evalúa el riesgo.</w:t>
      </w:r>
    </w:p>
    <w:p>
      <w:pPr>
        <w:pStyle w:val="ListNumber"/>
      </w:pPr>
      <w:r>
        <w:rPr>
          <w:b/>
        </w:rPr>
        <w:t>Pruebas</w:t>
      </w:r>
      <w:r>
        <w:t>: el cambio se prueba en ambiente controlado; se validan los controles de seguridad.</w:t>
      </w:r>
    </w:p>
    <w:p>
      <w:pPr>
        <w:pStyle w:val="ListNumber"/>
      </w:pPr>
      <w:r>
        <w:rPr>
          <w:b/>
        </w:rPr>
        <w:t>Aprobación</w:t>
      </w:r>
      <w:r>
        <w:t>: según la clasificación (CAB para los normales; emergencia con doble aprobación).</w:t>
      </w:r>
    </w:p>
    <w:p>
      <w:pPr>
        <w:pStyle w:val="ListNumber"/>
      </w:pPr>
      <w:r>
        <w:rPr>
          <w:b/>
        </w:rPr>
        <w:t>Programación y ventana</w:t>
      </w:r>
      <w:r>
        <w:t>: se define cuándo se implementa (ventana de baja actividad para críticos).</w:t>
      </w:r>
    </w:p>
    <w:p>
      <w:pPr>
        <w:pStyle w:val="ListNumber"/>
      </w:pPr>
      <w:r>
        <w:rPr>
          <w:b/>
        </w:rPr>
        <w:t>Implementación</w:t>
      </w:r>
      <w:r>
        <w:t>: se ejecuta con la participación de quien lo aprueba; se supervisa en producción.</w:t>
      </w:r>
    </w:p>
    <w:p>
      <w:pPr>
        <w:pStyle w:val="ListNumber"/>
      </w:pPr>
      <w:r>
        <w:rPr>
          <w:b/>
        </w:rPr>
        <w:t>Registro</w:t>
      </w:r>
      <w:r>
        <w:t>: fecha, responsable, descripción, pruebas, aprobación, resultado.</w:t>
      </w:r>
    </w:p>
    <w:p>
      <w:pPr>
        <w:pStyle w:val="ListNumber"/>
      </w:pPr>
      <w:r>
        <w:rPr>
          <w:b/>
        </w:rPr>
        <w:t>Retorno (rollback)</w:t>
      </w:r>
      <w:r>
        <w:t>: si falla, se revierte según el plan; se documenta la causa.</w:t>
      </w:r>
    </w:p>
    <w:p>
      <w:pPr>
        <w:pStyle w:val="ListNumber"/>
      </w:pPr>
      <w:r>
        <w:rPr>
          <w:b/>
        </w:rPr>
        <w:t>Verificación posterior</w:t>
      </w:r>
      <w:r>
        <w:t>: el cambio se verifica en un período de observación.</w:t>
      </w:r>
    </w:p>
    <w:p>
      <w:pPr>
        <w:pStyle w:val="Heading2"/>
      </w:pPr>
      <w:r>
        <w:rPr>
          <w:color w:val="1F3B63"/>
        </w:rPr>
        <w:t>5. Relación con la configuración</w:t>
      </w:r>
    </w:p>
    <w:p>
      <w:pPr>
        <w:pStyle w:val="ListBullet"/>
      </w:pPr>
      <w:r>
        <w:t xml:space="preserve">La </w:t>
      </w:r>
      <w:r>
        <w:rPr>
          <w:b/>
        </w:rPr>
        <w:t>línea base de configuración</w:t>
      </w:r>
      <w:r>
        <w:t xml:space="preserve"> se actualiza con cada cambio aprobado (PRO-03).</w:t>
      </w:r>
    </w:p>
    <w:p>
      <w:pPr>
        <w:pStyle w:val="ListBullet"/>
      </w:pPr>
      <w:r>
        <w:t xml:space="preserve">Los cambios a configuraciones de seguridad (firewall, accesos privilegiados, cifrado) requieren </w:t>
      </w:r>
      <w:r>
        <w:rPr>
          <w:b/>
        </w:rPr>
        <w:t>aprobación del RSI</w:t>
      </w:r>
      <w:r>
        <w:t>.</w:t>
      </w:r>
    </w:p>
    <w:p>
      <w:pPr>
        <w:pStyle w:val="ListBullet"/>
      </w:pPr>
      <w:r>
        <w:t xml:space="preserve">Las configuraciones relevantes se registran en el </w:t>
      </w:r>
      <w:r>
        <w:rPr>
          <w:b/>
        </w:rPr>
        <w:t>control de cambios</w:t>
      </w:r>
      <w:r>
        <w:t>.</w:t>
      </w:r>
    </w:p>
    <w:p>
      <w:pPr>
        <w:pStyle w:val="Heading2"/>
      </w:pPr>
      <w:r>
        <w:rPr>
          <w:color w:val="1F3B63"/>
        </w:rPr>
        <w:t>6. Salidas y registros</w:t>
      </w:r>
    </w:p>
    <w:p>
      <w:pPr>
        <w:pStyle w:val="ListBullet"/>
      </w:pPr>
      <w:r>
        <w:t>Registro de cambios (solicitudes, aprobaciones, implementaciones).</w:t>
      </w:r>
    </w:p>
    <w:p>
      <w:pPr>
        <w:pStyle w:val="ListBullet"/>
      </w:pPr>
      <w:r>
        <w:t>Planes de retorno y evidencia de pruebas.</w:t>
      </w:r>
    </w:p>
    <w:p>
      <w:pPr>
        <w:pStyle w:val="ListBullet"/>
      </w:pPr>
      <w:r>
        <w:t>Registro de cambios de emergencia.</w:t>
      </w:r>
    </w:p>
    <w:p>
      <w:pPr>
        <w:pStyle w:val="Heading2"/>
      </w:pPr>
      <w:r>
        <w:rPr>
          <w:color w:val="1F3B63"/>
        </w:rPr>
        <w:t>7. Errores comunes</w:t>
      </w:r>
    </w:p>
    <w:p>
      <w:pPr>
        <w:pStyle w:val="ListBullet"/>
      </w:pPr>
      <w:r>
        <w:t>Cambios directos en producción sin solicitud.</w:t>
      </w:r>
    </w:p>
    <w:p>
      <w:pPr>
        <w:pStyle w:val="ListBullet"/>
      </w:pPr>
      <w:r>
        <w:t>No probar el rollback.</w:t>
      </w:r>
    </w:p>
    <w:p>
      <w:pPr>
        <w:pStyle w:val="ListBullet"/>
      </w:pPr>
      <w:r>
        <w:t>Emergencias sin documentar.</w:t>
      </w:r>
    </w:p>
    <w:p>
      <w:pPr>
        <w:pStyle w:val="ListBullet"/>
      </w:pPr>
      <w:r>
        <w:t>Cambios de seguridad sin revisión del RSI.</w:t>
      </w:r>
    </w:p>
    <w:p>
      <w:pPr>
        <w:pStyle w:val="Heading2"/>
      </w:pPr>
      <w:r>
        <w:rPr>
          <w:color w:val="1F3B63"/>
        </w:rPr>
        <w:t>8. Referencias y evidencia</w:t>
      </w:r>
    </w:p>
    <w:p>
      <w:r>
        <w:t>POL-15 · PRO-03 · PRO-10. Alimenta: PR-08, auditorías, hallazgos de BCU.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