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PRO-12 · Procedimiento: Concientización, Capacitación y Simulacros</w:t>
      </w:r>
    </w:p>
    <w:p>
      <w:pPr>
        <w:ind w:left="432"/>
      </w:pPr>
      <w:r>
        <w:rPr>
          <w:i/>
          <w:color w:val="606060"/>
        </w:rPr>
        <w:t>**Función del MCU 5.0:** Proteger (PR.AT — concientización y capacitación)</w:t>
      </w:r>
    </w:p>
    <w:p>
      <w:pPr>
        <w:ind w:left="432"/>
      </w:pPr>
      <w:r>
        <w:rPr>
          <w:i/>
          <w:color w:val="606060"/>
        </w:rPr>
        <w:t>**ISO/IEC 27001:** A.6.3 (concientización) · A.5.1-A.5.2 (compromiso) · A.7.2 (formación)</w:t>
      </w:r>
    </w:p>
    <w:p>
      <w:pPr>
        <w:ind w:left="432"/>
      </w:pPr>
      <w:r>
        <w:rPr>
          <w:i/>
          <w:color w:val="606060"/>
        </w:rPr>
        <w:t>**BCU:** EMG — la capacitación continua en ciberseguridad es una práctica esperada por el supervisor</w:t>
      </w:r>
    </w:p>
    <w:p>
      <w:pPr>
        <w:ind w:left="432"/>
      </w:pPr>
      <w:r>
        <w:rPr>
          <w:i/>
          <w:color w:val="606060"/>
        </w:rPr>
        <w:t>**URCDP:** Ley 18.331 art. 10 — el personal que trata datos personales debe conocer los deberes</w:t>
      </w:r>
    </w:p>
    <w:p>
      <w:pPr>
        <w:ind w:left="432"/>
      </w:pPr>
      <w:r>
        <w:rPr>
          <w:i/>
          <w:color w:val="606060"/>
        </w:rPr>
        <w:t>**Nivel del curso:** 🟡 Practicar (complementa el curso `curso-concientizacion`)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Desarrollar una </w:t>
      </w:r>
      <w:r>
        <w:rPr>
          <w:b/>
        </w:rPr>
        <w:t>cultura de seguridad</w:t>
      </w:r>
      <w:r>
        <w:t xml:space="preserve"> mediante capacitación, comunicación y simulacros, para reducir el error humano (principal vector de incidentes). Aplica a todo el personal, contratistas y proveedores con acceso.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RSI</w:t>
      </w:r>
      <w:r>
        <w:t>: diseña y ejecuta el programa.</w:t>
      </w:r>
    </w:p>
    <w:p>
      <w:pPr>
        <w:pStyle w:val="ListBullet"/>
      </w:pPr>
      <w:r>
        <w:rPr>
          <w:b/>
        </w:rPr>
        <w:t>RRHH</w:t>
      </w:r>
      <w:r>
        <w:t>: coordina la participación y el registro.</w:t>
      </w:r>
    </w:p>
    <w:p>
      <w:pPr>
        <w:pStyle w:val="ListBullet"/>
      </w:pPr>
      <w:r>
        <w:rPr>
          <w:b/>
        </w:rPr>
        <w:t>Jefes de área</w:t>
      </w:r>
      <w:r>
        <w:t>: garantizan que su equipo asista y aplique.</w:t>
      </w:r>
    </w:p>
    <w:p>
      <w:pPr>
        <w:pStyle w:val="ListBullet"/>
      </w:pPr>
      <w:r>
        <w:rPr>
          <w:b/>
        </w:rPr>
        <w:t>Comité de Seguridad</w:t>
      </w:r>
      <w:r>
        <w:t>: patrocina y evalúa resultados.</w:t>
      </w:r>
    </w:p>
    <w:p>
      <w:pPr>
        <w:pStyle w:val="Heading2"/>
      </w:pPr>
      <w:r>
        <w:rPr>
          <w:color w:val="1F3B63"/>
        </w:rPr>
        <w:t>3. Contenido mínimo del programa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Público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</w:tr>
      <w:tr>
        <w:tc>
          <w:tcPr>
            <w:tcW w:type="dxa" w:w="3216"/>
          </w:tcPr>
          <w:p>
            <w:r/>
            <w:r>
              <w:t>Políticas de seguridad (POL-09)</w:t>
            </w:r>
          </w:p>
        </w:tc>
        <w:tc>
          <w:tcPr>
            <w:tcW w:type="dxa" w:w="3216"/>
          </w:tcPr>
          <w:p>
            <w:r/>
            <w:r>
              <w:t>Todo el personal</w:t>
            </w:r>
          </w:p>
        </w:tc>
        <w:tc>
          <w:tcPr>
            <w:tcW w:type="dxa" w:w="3216"/>
          </w:tcPr>
          <w:p>
            <w:r/>
            <w:r>
              <w:t>Al ingreso y anual</w:t>
            </w:r>
          </w:p>
        </w:tc>
      </w:tr>
      <w:tr>
        <w:tc>
          <w:tcPr>
            <w:tcW w:type="dxa" w:w="3216"/>
          </w:tcPr>
          <w:p>
            <w:r/>
            <w:r>
              <w:t>Phishing y correos maliciosos</w:t>
            </w:r>
          </w:p>
        </w:tc>
        <w:tc>
          <w:tcPr>
            <w:tcW w:type="dxa" w:w="3216"/>
          </w:tcPr>
          <w:p>
            <w:r/>
            <w:r>
              <w:t>Todo el personal</w:t>
            </w:r>
          </w:p>
        </w:tc>
        <w:tc>
          <w:tcPr>
            <w:tcW w:type="dxa" w:w="3216"/>
          </w:tcPr>
          <w:p>
            <w:r/>
            <w:r>
              <w:t>Al ingreso + simulacros trimestrales</w:t>
            </w:r>
          </w:p>
        </w:tc>
      </w:tr>
      <w:tr>
        <w:tc>
          <w:tcPr>
            <w:tcW w:type="dxa" w:w="3216"/>
          </w:tcPr>
          <w:p>
            <w:r/>
            <w:r>
              <w:t>Clasificación de la información</w:t>
            </w:r>
          </w:p>
        </w:tc>
        <w:tc>
          <w:tcPr>
            <w:tcW w:type="dxa" w:w="3216"/>
          </w:tcPr>
          <w:p>
            <w:r/>
            <w:r>
              <w:t>Todo el personal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</w:tr>
      <w:tr>
        <w:tc>
          <w:tcPr>
            <w:tcW w:type="dxa" w:w="3216"/>
          </w:tcPr>
          <w:p>
            <w:r/>
            <w:r>
              <w:t>Gestión de accesos y contraseñas</w:t>
            </w:r>
          </w:p>
        </w:tc>
        <w:tc>
          <w:tcPr>
            <w:tcW w:type="dxa" w:w="3216"/>
          </w:tcPr>
          <w:p>
            <w:r/>
            <w:r>
              <w:t>Todo el personal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</w:tr>
      <w:tr>
        <w:tc>
          <w:tcPr>
            <w:tcW w:type="dxa" w:w="3216"/>
          </w:tcPr>
          <w:p>
            <w:r/>
            <w:r>
              <w:t>Trabajo remoto y dispositivos</w:t>
            </w:r>
          </w:p>
        </w:tc>
        <w:tc>
          <w:tcPr>
            <w:tcW w:type="dxa" w:w="3216"/>
          </w:tcPr>
          <w:p>
            <w:r/>
            <w:r>
              <w:t>Personal relevante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</w:tr>
      <w:tr>
        <w:tc>
          <w:tcPr>
            <w:tcW w:type="dxa" w:w="3216"/>
          </w:tcPr>
          <w:p>
            <w:r/>
            <w:r>
              <w:t>Protección de datos personales (POL-20)</w:t>
            </w:r>
          </w:p>
        </w:tc>
        <w:tc>
          <w:tcPr>
            <w:tcW w:type="dxa" w:w="3216"/>
          </w:tcPr>
          <w:p>
            <w:r/>
            <w:r>
              <w:t>Todo el personal</w:t>
            </w:r>
          </w:p>
        </w:tc>
        <w:tc>
          <w:tcPr>
            <w:tcW w:type="dxa" w:w="3216"/>
          </w:tcPr>
          <w:p>
            <w:r/>
            <w:r>
              <w:t>Anual (refuerzo en atención y datos)</w:t>
            </w:r>
          </w:p>
        </w:tc>
      </w:tr>
      <w:tr>
        <w:tc>
          <w:tcPr>
            <w:tcW w:type="dxa" w:w="3216"/>
          </w:tcPr>
          <w:p>
            <w:r/>
            <w:r>
              <w:t>Desarrollo seguro</w:t>
            </w:r>
          </w:p>
        </w:tc>
        <w:tc>
          <w:tcPr>
            <w:tcW w:type="dxa" w:w="3216"/>
          </w:tcPr>
          <w:p>
            <w:r/>
            <w:r>
              <w:t>Equipos de desarrollo</w:t>
            </w:r>
          </w:p>
        </w:tc>
        <w:tc>
          <w:tcPr>
            <w:tcW w:type="dxa" w:w="3216"/>
          </w:tcPr>
          <w:p>
            <w:r/>
            <w:r>
              <w:t>Anual + en el proyecto</w:t>
            </w:r>
          </w:p>
        </w:tc>
      </w:tr>
      <w:tr>
        <w:tc>
          <w:tcPr>
            <w:tcW w:type="dxa" w:w="3216"/>
          </w:tcPr>
          <w:p>
            <w:r/>
            <w:r>
              <w:t>Uso de IA segura (POL-17)</w:t>
            </w:r>
          </w:p>
        </w:tc>
        <w:tc>
          <w:tcPr>
            <w:tcW w:type="dxa" w:w="3216"/>
          </w:tcPr>
          <w:p>
            <w:r/>
            <w:r>
              <w:t>Todo el personal</w:t>
            </w:r>
          </w:p>
        </w:tc>
        <w:tc>
          <w:tcPr>
            <w:tcW w:type="dxa" w:w="3216"/>
          </w:tcPr>
          <w:p>
            <w:r/>
            <w:r>
              <w:t>Anual y ante cambios de herramientas</w:t>
            </w:r>
          </w:p>
        </w:tc>
      </w:tr>
      <w:tr>
        <w:tc>
          <w:tcPr>
            <w:tcW w:type="dxa" w:w="3216"/>
          </w:tcPr>
          <w:p>
            <w:r/>
            <w:r>
              <w:t>Respuesta a incidentes</w:t>
            </w:r>
          </w:p>
        </w:tc>
        <w:tc>
          <w:tcPr>
            <w:tcW w:type="dxa" w:w="3216"/>
          </w:tcPr>
          <w:p>
            <w:r/>
            <w:r>
              <w:t>Todos</w:t>
            </w:r>
          </w:p>
        </w:tc>
        <w:tc>
          <w:tcPr>
            <w:tcW w:type="dxa" w:w="3216"/>
          </w:tcPr>
          <w:p>
            <w:r/>
            <w:r>
              <w:t>Simulacros</w:t>
            </w:r>
          </w:p>
        </w:tc>
      </w:tr>
    </w:tbl>
    <w:p>
      <w:pPr>
        <w:pStyle w:val="Heading2"/>
      </w:pPr>
      <w:r>
        <w:rPr>
          <w:color w:val="1F3B63"/>
        </w:rPr>
        <w:t>4. Modalidades</w:t>
      </w:r>
    </w:p>
    <w:p>
      <w:pPr>
        <w:pStyle w:val="ListBullet"/>
      </w:pPr>
      <w:r>
        <w:rPr>
          <w:b/>
        </w:rPr>
        <w:t>Inducción presencial/virtual</w:t>
      </w:r>
      <w:r>
        <w:t xml:space="preserve"> al ingreso (PRO-08).</w:t>
      </w:r>
    </w:p>
    <w:p>
      <w:pPr>
        <w:pStyle w:val="ListBullet"/>
      </w:pPr>
      <w:r>
        <w:rPr>
          <w:b/>
        </w:rPr>
        <w:t>E-learning anual</w:t>
      </w:r>
      <w:r>
        <w:t xml:space="preserve"> obligatorio con verificación de comprensión.</w:t>
      </w:r>
    </w:p>
    <w:p>
      <w:pPr>
        <w:pStyle w:val="ListBullet"/>
      </w:pPr>
      <w:r>
        <w:rPr>
          <w:b/>
        </w:rPr>
        <w:t>Simulacros de phishing</w:t>
      </w:r>
      <w:r>
        <w:t>: campañas internas programadas; los clics se gestionan con refuerzo (no punitivo) y seguimiento.</w:t>
      </w:r>
    </w:p>
    <w:p>
      <w:pPr>
        <w:pStyle w:val="ListBullet"/>
      </w:pPr>
      <w:r>
        <w:rPr>
          <w:b/>
        </w:rPr>
        <w:t>Simulacros técnicos</w:t>
      </w:r>
      <w:r>
        <w:t>: de incidentes (PRO-04) y de continuidad (POL-07) al menos [COMPLETAR: 1 anual].</w:t>
      </w:r>
    </w:p>
    <w:p>
      <w:pPr>
        <w:pStyle w:val="ListBullet"/>
      </w:pPr>
      <w:r>
        <w:rPr>
          <w:b/>
        </w:rPr>
        <w:t>Comunicaciones periódicas</w:t>
      </w:r>
      <w:r>
        <w:t>: boletines, pósters, mensajes en el día a día.</w:t>
      </w:r>
    </w:p>
    <w:p>
      <w:pPr>
        <w:pStyle w:val="Heading2"/>
      </w:pPr>
      <w:r>
        <w:rPr>
          <w:color w:val="1F3B63"/>
        </w:rPr>
        <w:t>5. Medición y seguimiento</w:t>
      </w:r>
    </w:p>
    <w:p>
      <w:pPr>
        <w:pStyle w:val="ListBullet"/>
      </w:pPr>
      <w:r>
        <w:t>Cobertura: % de personal que completa cada capacitación (meta: ≥ 95%).</w:t>
      </w:r>
    </w:p>
    <w:p>
      <w:pPr>
        <w:pStyle w:val="ListBullet"/>
      </w:pPr>
      <w:r>
        <w:t>Tasa de clics en simulacros y su evolución.</w:t>
      </w:r>
    </w:p>
    <w:p>
      <w:pPr>
        <w:pStyle w:val="ListBullet"/>
      </w:pPr>
      <w:r>
        <w:t>Tasa de reportes de phishing (reportar = comportamiento deseado).</w:t>
      </w:r>
    </w:p>
    <w:p>
      <w:pPr>
        <w:pStyle w:val="ListBullet"/>
      </w:pPr>
      <w:r>
        <w:t>Resultados de simulacros de incidentes.</w:t>
      </w:r>
    </w:p>
    <w:p>
      <w:pPr>
        <w:pStyle w:val="ListBullet"/>
      </w:pPr>
      <w:r>
        <w:t xml:space="preserve">El </w:t>
      </w:r>
      <w:r>
        <w:rPr>
          <w:b/>
        </w:rPr>
        <w:t>Comité revisa</w:t>
      </w:r>
      <w:r>
        <w:t xml:space="preserve"> las métricas trimestralmente; las áreas con rezago se refuerzan.</w:t>
      </w:r>
    </w:p>
    <w:p>
      <w:pPr>
        <w:pStyle w:val="Heading2"/>
      </w:pPr>
      <w:r>
        <w:rPr>
          <w:color w:val="1F3B63"/>
        </w:rPr>
        <w:t>6. Salidas y registros</w:t>
      </w:r>
    </w:p>
    <w:p>
      <w:pPr>
        <w:pStyle w:val="ListBullet"/>
      </w:pPr>
      <w:r>
        <w:t>Programa anual de concientización.</w:t>
      </w:r>
    </w:p>
    <w:p>
      <w:pPr>
        <w:pStyle w:val="ListBullet"/>
      </w:pPr>
      <w:r>
        <w:t>Registro de asistencia y aprobación de capacitaciones.</w:t>
      </w:r>
    </w:p>
    <w:p>
      <w:pPr>
        <w:pStyle w:val="ListBullet"/>
      </w:pPr>
      <w:r>
        <w:t>Resultados de simulacros.</w:t>
      </w:r>
    </w:p>
    <w:p>
      <w:pPr>
        <w:pStyle w:val="ListBullet"/>
      </w:pPr>
      <w:r>
        <w:t>Métricas y reporte al Comité.</w:t>
      </w:r>
    </w:p>
    <w:p>
      <w:pPr>
        <w:pStyle w:val="Heading2"/>
      </w:pPr>
      <w:r>
        <w:rPr>
          <w:color w:val="1F3B63"/>
        </w:rPr>
        <w:t>7. Errores comunes</w:t>
      </w:r>
    </w:p>
    <w:p>
      <w:pPr>
        <w:pStyle w:val="ListBullet"/>
      </w:pPr>
      <w:r>
        <w:t>Capacitar "una vez y guardar".</w:t>
      </w:r>
    </w:p>
    <w:p>
      <w:pPr>
        <w:pStyle w:val="ListBullet"/>
      </w:pPr>
      <w:r>
        <w:t>Simulacros punitivos que desmotivan el reporte.</w:t>
      </w:r>
    </w:p>
    <w:p>
      <w:pPr>
        <w:pStyle w:val="ListBullet"/>
      </w:pPr>
      <w:r>
        <w:t>No medir el efecto real (clics, reportes).</w:t>
      </w:r>
    </w:p>
    <w:p>
      <w:pPr>
        <w:pStyle w:val="Heading2"/>
      </w:pPr>
      <w:r>
        <w:rPr>
          <w:color w:val="1F3B63"/>
        </w:rPr>
        <w:t>8. Referencias y evidencia</w:t>
      </w:r>
    </w:p>
    <w:p>
      <w:r>
        <w:t>POL-09 · POL-20 · PRO-04 · PRO-08. Alimenta: PR-02, GV-02.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