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PRO-13 · Procedimiento: Evaluación de Seguridad de Terceros y Proveedores</w:t>
      </w:r>
    </w:p>
    <w:p>
      <w:pPr>
        <w:ind w:left="432"/>
      </w:pPr>
      <w:r>
        <w:rPr>
          <w:i/>
          <w:color w:val="606060"/>
        </w:rPr>
        <w:t>**Función del MCU 5.0:** Gobernar (GV.SC — gestión de la cadena de suministro)</w:t>
      </w:r>
    </w:p>
    <w:p>
      <w:pPr>
        <w:ind w:left="432"/>
      </w:pPr>
      <w:r>
        <w:rPr>
          <w:i/>
          <w:color w:val="606060"/>
        </w:rPr>
        <w:t>**ISO/IEC 27001:** A.5.19-A.5.22 (relaciones con proveedores, en nube e ITSM) · A.5.19 (acuerdos)</w:t>
      </w:r>
    </w:p>
    <w:p>
      <w:pPr>
        <w:ind w:left="432"/>
      </w:pPr>
      <w:r>
        <w:rPr>
          <w:i/>
          <w:color w:val="606060"/>
        </w:rPr>
        <w:t>**BCU:** EMG / RNRCSF — los servicios de terceros deben mantener el nivel de control exigido al Banco</w:t>
      </w:r>
    </w:p>
    <w:p>
      <w:pPr>
        <w:ind w:left="432"/>
      </w:pPr>
      <w:r>
        <w:rPr>
          <w:i/>
          <w:color w:val="606060"/>
        </w:rPr>
        <w:t>**URCDP:** Ley 18.331 art. 18 — los encargados de tratamiento deben dar las mismas garantías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Asegurar que los </w:t>
      </w:r>
      <w:r>
        <w:rPr>
          <w:b/>
        </w:rPr>
        <w:t>terceros y proveedores</w:t>
      </w:r>
      <w:r>
        <w:t xml:space="preserve"> que acceden a sistemas, datos o instalaciones del Banco cumplan un nivel de seguridad equivalente, antes y durante la relación. Aplica a proveedores de TI, nube, mantenimiento, limpieza, seguridad y otros con acceso a información o instalaciones.</w:t>
      </w:r>
    </w:p>
    <w:p>
      <w:pPr>
        <w:pStyle w:val="Heading2"/>
      </w:pPr>
      <w:r>
        <w:rPr>
          <w:color w:val="1F3B63"/>
        </w:rPr>
        <w:t>2. Responsables</w:t>
      </w:r>
    </w:p>
    <w:p>
      <w:pPr>
        <w:pStyle w:val="ListBullet"/>
      </w:pPr>
      <w:r>
        <w:rPr>
          <w:b/>
        </w:rPr>
        <w:t>Compras / Área contratante</w:t>
      </w:r>
      <w:r>
        <w:t>: gestiona la relación comercial.</w:t>
      </w:r>
    </w:p>
    <w:p>
      <w:pPr>
        <w:pStyle w:val="ListBullet"/>
      </w:pPr>
      <w:r>
        <w:rPr>
          <w:b/>
        </w:rPr>
        <w:t>RSI</w:t>
      </w:r>
      <w:r>
        <w:t>: define y ejecuta la evaluación de seguridad.</w:t>
      </w:r>
    </w:p>
    <w:p>
      <w:pPr>
        <w:pStyle w:val="ListBullet"/>
      </w:pPr>
      <w:r>
        <w:rPr>
          <w:b/>
        </w:rPr>
        <w:t>Legales</w:t>
      </w:r>
      <w:r>
        <w:t>: incorpora las cláusulas al contrato.</w:t>
      </w:r>
    </w:p>
    <w:p>
      <w:pPr>
        <w:pStyle w:val="ListBullet"/>
      </w:pPr>
      <w:r>
        <w:rPr>
          <w:b/>
        </w:rPr>
        <w:t>DPD</w:t>
      </w:r>
      <w:r>
        <w:t>: revisa los acuerdos de tratamiento de datos personales.</w:t>
      </w:r>
    </w:p>
    <w:p>
      <w:pPr>
        <w:pStyle w:val="Heading2"/>
      </w:pPr>
      <w:r>
        <w:rPr>
          <w:color w:val="1F3B63"/>
        </w:rPr>
        <w:t>3. Desarrollo paso a paso</w:t>
      </w:r>
    </w:p>
    <w:p>
      <w:pPr>
        <w:pStyle w:val="Heading3"/>
      </w:pPr>
      <w:r>
        <w:rPr>
          <w:color w:val="1F3B63"/>
        </w:rPr>
        <w:t>3.1 Antes de contratar</w:t>
      </w:r>
    </w:p>
    <w:p>
      <w:pPr>
        <w:pStyle w:val="ListNumber"/>
      </w:pPr>
      <w:r>
        <w:t xml:space="preserve">El </w:t>
      </w:r>
      <w:r>
        <w:rPr>
          <w:b/>
        </w:rPr>
        <w:t>área contratante</w:t>
      </w:r>
      <w:r>
        <w:t xml:space="preserve"> informa a </w:t>
      </w:r>
      <w:r>
        <w:rPr>
          <w:b/>
        </w:rPr>
        <w:t>RSI</w:t>
      </w:r>
      <w:r>
        <w:t xml:space="preserve"> del nuevo proveedor y del acceso/información que tendrá.</w:t>
      </w:r>
    </w:p>
    <w:p>
      <w:pPr>
        <w:pStyle w:val="ListNumber"/>
      </w:pPr>
      <w:r>
        <w:rPr>
          <w:b/>
        </w:rPr>
        <w:t>RSI clasifica el riesgo</w:t>
      </w:r>
      <w:r>
        <w:t xml:space="preserve"> según: acceso a información (¿datos personales? ¿críticos?), acceso a sistemas, presencia en sitio, tipo de servicio.</w:t>
      </w:r>
    </w:p>
    <w:p>
      <w:pPr>
        <w:pStyle w:val="ListNumber"/>
      </w:pPr>
      <w:r>
        <w:rPr>
          <w:b/>
        </w:rPr>
        <w:t>RSI evalúa</w:t>
      </w:r>
      <w:r>
        <w:t xml:space="preserve"> al proveedor según el riesgo:</w:t>
      </w:r>
    </w:p>
    <w:p>
      <w:pPr>
        <w:pStyle w:val="ListBullet"/>
      </w:pPr>
      <w:r>
        <w:rPr>
          <w:b/>
        </w:rPr>
        <w:t>Cuestionario de seguridad</w:t>
      </w:r>
      <w:r>
        <w:t xml:space="preserve"> (madurez, certificaciones — ISO 27001, SOC 2, PCI —, incidentes).</w:t>
      </w:r>
    </w:p>
    <w:p>
      <w:pPr>
        <w:pStyle w:val="ListBullet"/>
      </w:pPr>
      <w:r>
        <w:t xml:space="preserve">Proveedores de alto riesgo: </w:t>
      </w:r>
      <w:r>
        <w:rPr>
          <w:b/>
        </w:rPr>
        <w:t>revisión documental o evaluación en sitio</w:t>
      </w:r>
      <w:r>
        <w:t xml:space="preserve"> si corresponde.</w:t>
      </w:r>
    </w:p>
    <w:p>
      <w:pPr>
        <w:pStyle w:val="ListBullet"/>
      </w:pPr>
      <w:r>
        <w:rPr>
          <w:b/>
        </w:rPr>
        <w:t>Nube</w:t>
      </w:r>
      <w:r>
        <w:t>: se aplica además la POL-19 y la evaluación del proveedor de nube.</w:t>
      </w:r>
    </w:p>
    <w:p>
      <w:pPr>
        <w:pStyle w:val="ListNumber"/>
      </w:pPr>
      <w:r>
        <w:t xml:space="preserve">Se definen los </w:t>
      </w:r>
      <w:r>
        <w:rPr>
          <w:b/>
        </w:rPr>
        <w:t>requisitos contractuales</w:t>
      </w:r>
      <w:r>
        <w:t>: cláusulas de seguridad, notificación de incidentes, tratamiento de datos personales, auditoría, subcontratación, destrucción/retorno de datos, cláusula de salida.</w:t>
      </w:r>
    </w:p>
    <w:p>
      <w:pPr>
        <w:pStyle w:val="ListNumber"/>
      </w:pPr>
      <w:r>
        <w:rPr>
          <w:b/>
        </w:rPr>
        <w:t>Legales</w:t>
      </w:r>
      <w:r>
        <w:t xml:space="preserve"> incorpora las cláusulas; el contrato se aprueba antes del acceso.</w:t>
      </w:r>
    </w:p>
    <w:p>
      <w:pPr>
        <w:pStyle w:val="Heading3"/>
      </w:pPr>
      <w:r>
        <w:rPr>
          <w:color w:val="1F3B63"/>
        </w:rPr>
        <w:t>3.2 Durante la relación</w:t>
      </w:r>
    </w:p>
    <w:p>
      <w:pPr>
        <w:pStyle w:val="ListNumber"/>
      </w:pPr>
      <w:r>
        <w:t xml:space="preserve">Los accesos del proveedor se gestionan como cualquier usuario: </w:t>
      </w:r>
      <w:r>
        <w:rPr>
          <w:b/>
        </w:rPr>
        <w:t>mínimo privilegio, plazo definido, MFA</w:t>
      </w:r>
      <w:r>
        <w:t xml:space="preserve"> (PRO-01, PRO-08).</w:t>
      </w:r>
    </w:p>
    <w:p>
      <w:pPr>
        <w:pStyle w:val="ListNumber"/>
      </w:pPr>
      <w:r>
        <w:t xml:space="preserve">Se supervisan los </w:t>
      </w:r>
      <w:r>
        <w:rPr>
          <w:b/>
        </w:rPr>
        <w:t>informes del proveedor</w:t>
      </w:r>
      <w:r>
        <w:t xml:space="preserve"> (informe de incidentes, SOC/auditoría) según la periodicidad pactada.</w:t>
      </w:r>
    </w:p>
    <w:p>
      <w:pPr>
        <w:pStyle w:val="ListNumber"/>
      </w:pPr>
      <w:r>
        <w:t xml:space="preserve">Los </w:t>
      </w:r>
      <w:r>
        <w:rPr>
          <w:b/>
        </w:rPr>
        <w:t>incidentes del proveedor</w:t>
      </w:r>
      <w:r>
        <w:t xml:space="preserve"> que afecten al Banco se gestionan con PRO-04.</w:t>
      </w:r>
    </w:p>
    <w:p>
      <w:pPr>
        <w:pStyle w:val="ListNumber"/>
      </w:pPr>
      <w:r>
        <w:t xml:space="preserve">Se revisan los </w:t>
      </w:r>
      <w:r>
        <w:rPr>
          <w:b/>
        </w:rPr>
        <w:t>niveles de servicio</w:t>
      </w:r>
      <w:r>
        <w:t xml:space="preserve"> y el cumplimiento contractual de seguridad.</w:t>
      </w:r>
    </w:p>
    <w:p>
      <w:pPr>
        <w:pStyle w:val="Heading3"/>
      </w:pPr>
      <w:r>
        <w:rPr>
          <w:color w:val="1F3B63"/>
        </w:rPr>
        <w:t>3.3 Fin de la relación</w:t>
      </w:r>
    </w:p>
    <w:p>
      <w:pPr>
        <w:pStyle w:val="ListNumber"/>
      </w:pPr>
      <w:r>
        <w:t xml:space="preserve">Se ejecuta el </w:t>
      </w:r>
      <w:r>
        <w:rPr>
          <w:b/>
        </w:rPr>
        <w:t>retiro de accesos</w:t>
      </w:r>
      <w:r>
        <w:t xml:space="preserve"> del proveedor.</w:t>
      </w:r>
    </w:p>
    <w:p>
      <w:pPr>
        <w:pStyle w:val="ListNumber"/>
      </w:pPr>
      <w:r>
        <w:t xml:space="preserve">El proveedor </w:t>
      </w:r>
      <w:r>
        <w:rPr>
          <w:b/>
        </w:rPr>
        <w:t>devuelve o destruye</w:t>
      </w:r>
      <w:r>
        <w:t xml:space="preserve"> la información del Banco y lo acredita (PRO-09).</w:t>
      </w:r>
    </w:p>
    <w:p>
      <w:pPr>
        <w:pStyle w:val="ListNumber"/>
      </w:pPr>
      <w:r>
        <w:t>Se verifica la eliminación en la nube (POL-19).</w:t>
      </w:r>
    </w:p>
    <w:p>
      <w:pPr>
        <w:pStyle w:val="Heading2"/>
      </w:pPr>
      <w:r>
        <w:rPr>
          <w:color w:val="1F3B63"/>
        </w:rPr>
        <w:t>4. Clasificación del riesgo del proveedor (referencia)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Evaluación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Alto</w:t>
            </w:r>
          </w:p>
        </w:tc>
        <w:tc>
          <w:tcPr>
            <w:tcW w:type="dxa" w:w="3216"/>
          </w:tcPr>
          <w:p>
            <w:r/>
            <w:r>
              <w:t>Datos personales masivos, sistemas críticos, nube de información</w:t>
            </w:r>
          </w:p>
        </w:tc>
        <w:tc>
          <w:tcPr>
            <w:tcW w:type="dxa" w:w="3216"/>
          </w:tcPr>
          <w:p>
            <w:r/>
            <w:r>
              <w:t>Cuestionario + revisión documental + cláusulas reforzadas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Medio</w:t>
            </w:r>
          </w:p>
        </w:tc>
        <w:tc>
          <w:tcPr>
            <w:tcW w:type="dxa" w:w="3216"/>
          </w:tcPr>
          <w:p>
            <w:r/>
            <w:r>
              <w:t>Acceso a información confidencial o a sistemas no críticos</w:t>
            </w:r>
          </w:p>
        </w:tc>
        <w:tc>
          <w:tcPr>
            <w:tcW w:type="dxa" w:w="3216"/>
          </w:tcPr>
          <w:p>
            <w:r/>
            <w:r>
              <w:t>Cuestionario + cláusulas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Bajo</w:t>
            </w:r>
          </w:p>
        </w:tc>
        <w:tc>
          <w:tcPr>
            <w:tcW w:type="dxa" w:w="3216"/>
          </w:tcPr>
          <w:p>
            <w:r/>
            <w:r>
              <w:t>Sin acceso a información sensible</w:t>
            </w:r>
          </w:p>
        </w:tc>
        <w:tc>
          <w:tcPr>
            <w:tcW w:type="dxa" w:w="3216"/>
          </w:tcPr>
          <w:p>
            <w:r/>
            <w:r>
              <w:t>Cuestionario mínimo</w:t>
            </w:r>
          </w:p>
        </w:tc>
      </w:tr>
    </w:tbl>
    <w:p>
      <w:pPr>
        <w:pStyle w:val="Heading2"/>
      </w:pPr>
      <w:r>
        <w:rPr>
          <w:color w:val="1F3B63"/>
        </w:rPr>
        <w:t>5. Salidas y registros</w:t>
      </w:r>
    </w:p>
    <w:p>
      <w:pPr>
        <w:pStyle w:val="ListBullet"/>
      </w:pPr>
      <w:r>
        <w:t>Registro de proveedores evaluados con su riesgo (GV-03).</w:t>
      </w:r>
    </w:p>
    <w:p>
      <w:pPr>
        <w:pStyle w:val="ListBullet"/>
      </w:pPr>
      <w:r>
        <w:t>Cuestionarios y evaluaciones.</w:t>
      </w:r>
    </w:p>
    <w:p>
      <w:pPr>
        <w:pStyle w:val="ListBullet"/>
      </w:pPr>
      <w:r>
        <w:t>Contratos con cláusulas de seguridad (GV-05).</w:t>
      </w:r>
    </w:p>
    <w:p>
      <w:pPr>
        <w:pStyle w:val="ListBullet"/>
      </w:pPr>
      <w:r>
        <w:t>Acuerdos de encargado de tratamiento.</w:t>
      </w:r>
    </w:p>
    <w:p>
      <w:pPr>
        <w:pStyle w:val="Heading2"/>
      </w:pPr>
      <w:r>
        <w:rPr>
          <w:color w:val="1F3B63"/>
        </w:rPr>
        <w:t>6. Errores comunes</w:t>
      </w:r>
    </w:p>
    <w:p>
      <w:pPr>
        <w:pStyle w:val="ListBullet"/>
      </w:pPr>
      <w:r>
        <w:t>Contratar sin evaluación "por urgencia".</w:t>
      </w:r>
    </w:p>
    <w:p>
      <w:pPr>
        <w:pStyle w:val="ListBullet"/>
      </w:pPr>
      <w:r>
        <w:t>No supervisar al proveedor después de contratarlo.</w:t>
      </w:r>
    </w:p>
    <w:p>
      <w:pPr>
        <w:pStyle w:val="ListBullet"/>
      </w:pPr>
      <w:r>
        <w:t>Cláusulas genéricas sin notificación de incidentes.</w:t>
      </w:r>
    </w:p>
    <w:p>
      <w:pPr>
        <w:pStyle w:val="ListBullet"/>
      </w:pPr>
      <w:r>
        <w:t>Proveedores con accesos que nunca se revocan.</w:t>
      </w:r>
    </w:p>
    <w:p>
      <w:pPr>
        <w:pStyle w:val="Heading2"/>
      </w:pPr>
      <w:r>
        <w:rPr>
          <w:color w:val="1F3B63"/>
        </w:rPr>
        <w:t>7. Referencias y evidencia</w:t>
      </w:r>
    </w:p>
    <w:p>
      <w:r>
        <w:t>POL-11 · POL-19 · PRO-08 · PRO-09. Alimenta: GV-03, GV-05, URCDP-05.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