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PCS-01 · Proceso de Gestión de Riesgos de Seguridad</w:t>
      </w:r>
    </w:p>
    <w:p>
      <w:pPr>
        <w:ind w:left="432"/>
      </w:pPr>
      <w:r>
        <w:rPr>
          <w:i/>
          <w:color w:val="606060"/>
        </w:rPr>
        <w:t>**Función del MCU 5.0:** Gobernar (GV.RM — gestión de riesgos) · Identificar (ID.RA — evaluación de riesgos)</w:t>
      </w:r>
    </w:p>
    <w:p>
      <w:pPr>
        <w:ind w:left="432"/>
      </w:pPr>
      <w:r>
        <w:rPr>
          <w:i/>
          <w:color w:val="606060"/>
        </w:rPr>
        <w:t>**ISO/IEC 27001:** A.5.5-A.5.7 (política de riesgos, valoración, tratamiento) · A.5.35 (revisión)</w:t>
      </w:r>
    </w:p>
    <w:p>
      <w:pPr>
        <w:ind w:left="432"/>
      </w:pPr>
      <w:r>
        <w:rPr>
          <w:i/>
          <w:color w:val="606060"/>
        </w:rPr>
        <w:t>**BCU:** EMG — la gestión de riesgos de TIC se integra al marco de riesgo del Banco</w:t>
      </w:r>
    </w:p>
    <w:p>
      <w:pPr>
        <w:ind w:left="432"/>
      </w:pPr>
      <w:r>
        <w:rPr>
          <w:i/>
          <w:color w:val="606060"/>
        </w:rPr>
        <w:t>**URCDP:** Ley 18.331 y Ley 19.670 — evaluación de impacto en la protección de datos (EIPD)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ind w:left="432"/>
      </w:pPr>
      <w:r>
        <w:rPr>
          <w:i/>
          <w:color w:val="606060"/>
        </w:rPr>
        <w:t>**Ejecuta:** POL-01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 xml:space="preserve">Identificar, evaluar, tratar y monitorear los </w:t>
      </w:r>
      <w:r>
        <w:rPr>
          <w:b/>
        </w:rPr>
        <w:t>riesgos de seguridad de la información</w:t>
      </w:r>
      <w:r>
        <w:t xml:space="preserve"> que afectan a los activos del Banco, priorizando los recursos. Aplica a todos los procesos, sistemas, servicios y proyectos, incluido el uso de IA (POL-17).</w:t>
      </w:r>
    </w:p>
    <w:p>
      <w:pPr>
        <w:pStyle w:val="Heading2"/>
      </w:pPr>
      <w:r>
        <w:rPr>
          <w:color w:val="1F3B63"/>
        </w:rPr>
        <w:t>2. Entradas</w:t>
      </w:r>
    </w:p>
    <w:p>
      <w:pPr>
        <w:pStyle w:val="ListBullet"/>
      </w:pPr>
      <w:r>
        <w:t>Inventario de activos y su valoración (ID-01, POL-03).</w:t>
      </w:r>
    </w:p>
    <w:p>
      <w:pPr>
        <w:pStyle w:val="ListBullet"/>
      </w:pPr>
      <w:r>
        <w:t>Contexto del negocio y objetivos estratégicos.</w:t>
      </w:r>
    </w:p>
    <w:p>
      <w:pPr>
        <w:pStyle w:val="ListBullet"/>
      </w:pPr>
      <w:r>
        <w:t>Amenazas y vulnerabilidades conocidas (PRO-06, CERT-UY, ISACs).</w:t>
      </w:r>
    </w:p>
    <w:p>
      <w:pPr>
        <w:pStyle w:val="ListBullet"/>
      </w:pPr>
      <w:r>
        <w:t>Requisitos normativos (BCU, URCDP) y del negocio.</w:t>
      </w:r>
    </w:p>
    <w:p>
      <w:pPr>
        <w:pStyle w:val="ListBullet"/>
      </w:pPr>
      <w:r>
        <w:t>Incidentes y hallazgos previos.</w:t>
      </w:r>
    </w:p>
    <w:p>
      <w:pPr>
        <w:pStyle w:val="Heading2"/>
      </w:pPr>
      <w:r>
        <w:rPr>
          <w:color w:val="1F3B63"/>
        </w:rPr>
        <w:t>3. Actividades numeradas</w:t>
      </w:r>
    </w:p>
    <w:p>
      <w:r>
        <w:rPr>
          <w:b/>
        </w:rPr>
        <w:t>3.1 — Definir contexto y apetito de riesgo.</w:t>
      </w:r>
    </w:p>
    <w:p>
      <w:pPr>
        <w:pStyle w:val="ListBullet"/>
      </w:pPr>
      <w:r>
        <w:rPr>
          <w:b/>
        </w:rPr>
        <w:t>Responsable:</w:t>
      </w:r>
      <w:r>
        <w:t xml:space="preserve"> Comité de Seguridad / Dirección.</w:t>
      </w:r>
    </w:p>
    <w:p>
      <w:pPr>
        <w:pStyle w:val="ListBullet"/>
      </w:pPr>
      <w:r>
        <w:rPr>
          <w:b/>
        </w:rPr>
        <w:t>Pasos:</w:t>
      </w:r>
      <w:r>
        <w:t xml:space="preserve"> (a) definir criterios de riesgo aceptable, (b) comunicar el apetito de riesgo.</w:t>
      </w:r>
    </w:p>
    <w:p>
      <w:pPr>
        <w:pStyle w:val="ListBullet"/>
      </w:pPr>
      <w:r>
        <w:rPr>
          <w:b/>
        </w:rPr>
        <w:t>Salida:</w:t>
      </w:r>
      <w:r>
        <w:t xml:space="preserve"> Declaración de apetito de riesgo aprobada.</w:t>
      </w:r>
    </w:p>
    <w:p>
      <w:pPr>
        <w:pStyle w:val="ListBullet"/>
      </w:pPr>
      <w:r>
        <w:rPr>
          <w:b/>
        </w:rPr>
        <w:t>Plazo:</w:t>
      </w:r>
      <w:r>
        <w:t xml:space="preserve"> Anual y ante cambios de estrategia.</w:t>
      </w:r>
    </w:p>
    <w:p>
      <w:r>
        <w:rPr>
          <w:b/>
        </w:rPr>
        <w:t>3.2 — Identificar riesgos y vulnerabilidades.</w:t>
      </w:r>
    </w:p>
    <w:p>
      <w:pPr>
        <w:pStyle w:val="ListBullet"/>
      </w:pPr>
      <w:r>
        <w:rPr>
          <w:b/>
        </w:rPr>
        <w:t>Responsable:</w:t>
      </w:r>
      <w:r>
        <w:t xml:space="preserve"> RSI con dueños de activos.</w:t>
      </w:r>
    </w:p>
    <w:p>
      <w:pPr>
        <w:pStyle w:val="ListBullet"/>
      </w:pPr>
      <w:r>
        <w:rPr>
          <w:b/>
        </w:rPr>
        <w:t>Entrada:</w:t>
      </w:r>
      <w:r>
        <w:t xml:space="preserve"> inventario de activos, evaluaciones (PRO-06), threat intelligence.</w:t>
      </w:r>
    </w:p>
    <w:p>
      <w:pPr>
        <w:pStyle w:val="ListBullet"/>
      </w:pPr>
      <w:r>
        <w:rPr>
          <w:b/>
        </w:rPr>
        <w:t>Pasos:</w:t>
      </w:r>
      <w:r>
        <w:t xml:space="preserve"> (a) identificar amenazas por activo, (b) registrar cada riesgo en la matriz con activo y proceso afectado, (c) incluir los riesgos de IA y terceros (POL-17, POL-11).</w:t>
      </w:r>
    </w:p>
    <w:p>
      <w:pPr>
        <w:pStyle w:val="ListBullet"/>
      </w:pPr>
      <w:r>
        <w:rPr>
          <w:b/>
        </w:rPr>
        <w:t>Salida:</w:t>
      </w:r>
      <w:r>
        <w:t xml:space="preserve"> Registro de riesgos actualizado.</w:t>
      </w:r>
    </w:p>
    <w:p>
      <w:pPr>
        <w:pStyle w:val="ListBullet"/>
      </w:pPr>
      <w:r>
        <w:rPr>
          <w:b/>
        </w:rPr>
        <w:t>Plazo:</w:t>
      </w:r>
      <w:r>
        <w:t xml:space="preserve"> Continuo; revisión completa semestral.</w:t>
      </w:r>
    </w:p>
    <w:p>
      <w:r>
        <w:rPr>
          <w:b/>
        </w:rPr>
        <w:t>3.3 — Evaluar y priorizar el riesgo.</w:t>
      </w:r>
    </w:p>
    <w:p>
      <w:pPr>
        <w:pStyle w:val="ListBullet"/>
      </w:pPr>
      <w:r>
        <w:rPr>
          <w:b/>
        </w:rPr>
        <w:t>Responsable:</w:t>
      </w:r>
      <w:r>
        <w:t xml:space="preserve"> RSI.</w:t>
      </w:r>
    </w:p>
    <w:p>
      <w:pPr>
        <w:pStyle w:val="ListBullet"/>
      </w:pPr>
      <w:r>
        <w:rPr>
          <w:b/>
        </w:rPr>
        <w:t>Pasos:</w:t>
      </w:r>
      <w:r>
        <w:t xml:space="preserve"> (a) estimar probabilidad e impacto según los criterios definidos, (b) calcular el nivel de riesgo, (c) priorizar por nivel y cercanía de materialización.</w:t>
      </w:r>
    </w:p>
    <w:p>
      <w:pPr>
        <w:pStyle w:val="ListBullet"/>
      </w:pPr>
      <w:r>
        <w:rPr>
          <w:b/>
        </w:rPr>
        <w:t>Salida:</w:t>
      </w:r>
      <w:r>
        <w:t xml:space="preserve"> Matriz de riesgos con niveles (ID-02).</w:t>
      </w:r>
    </w:p>
    <w:p>
      <w:pPr>
        <w:pStyle w:val="ListBullet"/>
      </w:pPr>
      <w:r>
        <w:rPr>
          <w:b/>
        </w:rPr>
        <w:t>Plazo:</w:t>
      </w:r>
      <w:r>
        <w:t xml:space="preserve"> Al menos trimestral; ante cambios importantes, inmediato.</w:t>
      </w:r>
    </w:p>
    <w:p>
      <w:r>
        <w:rPr>
          <w:b/>
        </w:rPr>
        <w:t>3.4 — Definir el tratamiento.</w:t>
      </w:r>
    </w:p>
    <w:p>
      <w:pPr>
        <w:pStyle w:val="ListBullet"/>
      </w:pPr>
      <w:r>
        <w:rPr>
          <w:b/>
        </w:rPr>
        <w:t>Responsable:</w:t>
      </w:r>
      <w:r>
        <w:t xml:space="preserve"> RSI con dueños de activos; aprobación del Comité para los riesgos altos.</w:t>
      </w:r>
    </w:p>
    <w:p>
      <w:pPr>
        <w:pStyle w:val="ListBullet"/>
      </w:pPr>
      <w:r>
        <w:rPr>
          <w:b/>
        </w:rPr>
        <w:t>Pasos:</w:t>
      </w:r>
      <w:r>
        <w:t xml:space="preserve"> (a) elegir tratamiento: mitigar / transferir / aceptar / evitar, (b) definir el plan de tratamiento (controles, responsable, fecha), (c) para datos personales, decidir la necesidad de EIPD (POL-20, URCDP-04).</w:t>
      </w:r>
    </w:p>
    <w:p>
      <w:pPr>
        <w:pStyle w:val="ListBullet"/>
      </w:pPr>
      <w:r>
        <w:rPr>
          <w:b/>
        </w:rPr>
        <w:t>Salida:</w:t>
      </w:r>
      <w:r>
        <w:t xml:space="preserve"> Plan de tratamiento de riesgos aprobado.</w:t>
      </w:r>
    </w:p>
    <w:p>
      <w:pPr>
        <w:pStyle w:val="ListBullet"/>
      </w:pPr>
      <w:r>
        <w:rPr>
          <w:b/>
        </w:rPr>
        <w:t>Plazo:</w:t>
      </w:r>
      <w:r>
        <w:t xml:space="preserve"> En cada ciclo de evaluación.</w:t>
      </w:r>
    </w:p>
    <w:p>
      <w:r>
        <w:rPr>
          <w:b/>
        </w:rPr>
        <w:t>3.5 — Implementar y monitorear.</w:t>
      </w:r>
    </w:p>
    <w:p>
      <w:pPr>
        <w:pStyle w:val="ListBullet"/>
      </w:pPr>
      <w:r>
        <w:rPr>
          <w:b/>
        </w:rPr>
        <w:t>Responsable:</w:t>
      </w:r>
      <w:r>
        <w:t xml:space="preserve"> Dueños de los planes; RSI hace seguimiento.</w:t>
      </w:r>
    </w:p>
    <w:p>
      <w:pPr>
        <w:pStyle w:val="ListBullet"/>
      </w:pPr>
      <w:r>
        <w:rPr>
          <w:b/>
        </w:rPr>
        <w:t>Pasos:</w:t>
      </w:r>
      <w:r>
        <w:t xml:space="preserve"> (a) ejecutar los controles del plan, (b) registrar avance, (c) detectar riesgos residuales o nuevos (incidentes, hallazgos, cambios).</w:t>
      </w:r>
    </w:p>
    <w:p>
      <w:pPr>
        <w:pStyle w:val="ListBullet"/>
      </w:pPr>
      <w:r>
        <w:rPr>
          <w:b/>
        </w:rPr>
        <w:t>Salida:</w:t>
      </w:r>
      <w:r>
        <w:t xml:space="preserve"> Estado de tratamiento en el registro de riesgos.</w:t>
      </w:r>
    </w:p>
    <w:p>
      <w:pPr>
        <w:pStyle w:val="ListBullet"/>
      </w:pPr>
      <w:r>
        <w:rPr>
          <w:b/>
        </w:rPr>
        <w:t>Plazo:</w:t>
      </w:r>
      <w:r>
        <w:t xml:space="preserve"> Según lo planificado; seguimiento mensual por el RSI.</w:t>
      </w:r>
    </w:p>
    <w:p>
      <w:r>
        <w:rPr>
          <w:b/>
        </w:rPr>
        <w:t>3.6 — Reportar y revisar.</w:t>
      </w:r>
    </w:p>
    <w:p>
      <w:pPr>
        <w:pStyle w:val="ListBullet"/>
      </w:pPr>
      <w:r>
        <w:rPr>
          <w:b/>
        </w:rPr>
        <w:t>Responsable:</w:t>
      </w:r>
      <w:r>
        <w:t xml:space="preserve"> RSI al Comité de Seguridad.</w:t>
      </w:r>
    </w:p>
    <w:p>
      <w:pPr>
        <w:pStyle w:val="ListBullet"/>
      </w:pPr>
      <w:r>
        <w:rPr>
          <w:b/>
        </w:rPr>
        <w:t>Pasos:</w:t>
      </w:r>
      <w:r>
        <w:t xml:space="preserve"> (a) elaborar el reporte de riesgos (nivel general, evolución, principales exposiciones), (b) revisar el apetito de riesgo, (c) actualizar el plan anual.</w:t>
      </w:r>
    </w:p>
    <w:p>
      <w:pPr>
        <w:pStyle w:val="ListBullet"/>
      </w:pPr>
      <w:r>
        <w:rPr>
          <w:b/>
        </w:rPr>
        <w:t>Salida:</w:t>
      </w:r>
      <w:r>
        <w:t xml:space="preserve"> Reporte de riesgos al Comité y a Dirección.</w:t>
      </w:r>
    </w:p>
    <w:p>
      <w:pPr>
        <w:pStyle w:val="ListBullet"/>
      </w:pPr>
      <w:r>
        <w:rPr>
          <w:b/>
        </w:rPr>
        <w:t>Plazo:</w:t>
      </w:r>
      <w:r>
        <w:t xml:space="preserve"> Trimestral, más reporte anual formal.</w:t>
      </w:r>
    </w:p>
    <w:p>
      <w:pPr>
        <w:pStyle w:val="Heading2"/>
      </w:pPr>
      <w:r>
        <w:rPr>
          <w:color w:val="1F3B63"/>
        </w:rPr>
        <w:t>4. Salidas</w:t>
      </w:r>
    </w:p>
    <w:p>
      <w:pPr>
        <w:pStyle w:val="ListBullet"/>
      </w:pPr>
      <w:r>
        <w:t>Registro y matriz de riesgos (ID-02, GV-03).</w:t>
      </w:r>
    </w:p>
    <w:p>
      <w:pPr>
        <w:pStyle w:val="ListBullet"/>
      </w:pPr>
      <w:r>
        <w:t>Plan de tratamiento con responsables y fechas.</w:t>
      </w:r>
    </w:p>
    <w:p>
      <w:pPr>
        <w:pStyle w:val="ListBullet"/>
      </w:pPr>
      <w:r>
        <w:t>Reportes de riesgos al Comité.</w:t>
      </w:r>
    </w:p>
    <w:p>
      <w:pPr>
        <w:pStyle w:val="ListBullet"/>
      </w:pPr>
      <w:r>
        <w:t>EIPD cuando aplica (URCDP-04).</w:t>
      </w:r>
    </w:p>
    <w:p>
      <w:pPr>
        <w:pStyle w:val="Heading2"/>
      </w:pPr>
      <w:r>
        <w:rPr>
          <w:color w:val="1F3B63"/>
        </w:rPr>
        <w:t>5. Responsables del proceso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Comité de Seguridad</w:t>
            </w:r>
          </w:p>
        </w:tc>
        <w:tc>
          <w:tcPr>
            <w:tcW w:type="dxa" w:w="4824"/>
          </w:tcPr>
          <w:p>
            <w:r/>
            <w:r>
              <w:t>Aprueba apetito, tratamiento de riesgos altos y reportes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4824"/>
          </w:tcPr>
          <w:p>
            <w:r/>
            <w:r>
              <w:t>Coordina el proceso y da seguimiento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Dueños de activos</w:t>
            </w:r>
          </w:p>
        </w:tc>
        <w:tc>
          <w:tcPr>
            <w:tcW w:type="dxa" w:w="4824"/>
          </w:tcPr>
          <w:p>
            <w:r/>
            <w:r>
              <w:t>Identifican riesgos y ejecutan tratamientos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Jefe de Riesgos</w:t>
            </w:r>
          </w:p>
        </w:tc>
        <w:tc>
          <w:tcPr>
            <w:tcW w:type="dxa" w:w="4824"/>
          </w:tcPr>
          <w:p>
            <w:r/>
            <w:r>
              <w:t>Integra el riesgo de TIC al riesgo global del Banco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DPD</w:t>
            </w:r>
          </w:p>
        </w:tc>
        <w:tc>
          <w:tcPr>
            <w:tcW w:type="dxa" w:w="4824"/>
          </w:tcPr>
          <w:p>
            <w:r/>
            <w:r>
              <w:t>Evalúa riesgos de datos personales y EIPD</w:t>
            </w:r>
          </w:p>
        </w:tc>
      </w:tr>
    </w:tbl>
    <w:p>
      <w:pPr>
        <w:pStyle w:val="Heading2"/>
      </w:pPr>
      <w:r>
        <w:rPr>
          <w:color w:val="1F3B63"/>
        </w:rPr>
        <w:t>6. Indicadores (KPIs)</w:t>
      </w:r>
    </w:p>
    <w:p>
      <w:pPr>
        <w:pStyle w:val="ListBullet"/>
      </w:pPr>
      <w:r>
        <w:t>% de riesgos con plan de tratamiento vigente (meta ≥ 90%).</w:t>
      </w:r>
    </w:p>
    <w:p>
      <w:pPr>
        <w:pStyle w:val="ListBullet"/>
      </w:pPr>
      <w:r>
        <w:t>% de riesgos altos/muy altos sin tratamiento en fecha (meta 0%).</w:t>
      </w:r>
    </w:p>
    <w:p>
      <w:pPr>
        <w:pStyle w:val="ListBullet"/>
      </w:pPr>
      <w:r>
        <w:t>% de planes de tratamiento cerrados a tiempo.</w:t>
      </w:r>
    </w:p>
    <w:p>
      <w:pPr>
        <w:pStyle w:val="ListBullet"/>
      </w:pPr>
      <w:r>
        <w:t>Nº de riesgos nuevos detectados por período.</w:t>
      </w:r>
    </w:p>
    <w:p>
      <w:pPr>
        <w:pStyle w:val="Heading2"/>
      </w:pPr>
      <w:r>
        <w:rPr>
          <w:color w:val="1F3B63"/>
        </w:rPr>
        <w:t>7. Registros que deja</w:t>
      </w:r>
    </w:p>
    <w:p>
      <w:pPr>
        <w:pStyle w:val="ListBullet"/>
      </w:pPr>
      <w:r>
        <w:t>Matriz de riesgos con fechas de revisión.</w:t>
      </w:r>
    </w:p>
    <w:p>
      <w:pPr>
        <w:pStyle w:val="ListBullet"/>
      </w:pPr>
      <w:r>
        <w:t>Actas del Comité de Seguridad.</w:t>
      </w:r>
    </w:p>
    <w:p>
      <w:pPr>
        <w:pStyle w:val="ListBullet"/>
      </w:pPr>
      <w:r>
        <w:t>Reportes de riesgos.</w:t>
      </w:r>
    </w:p>
    <w:p>
      <w:pPr>
        <w:pStyle w:val="Heading2"/>
      </w:pPr>
      <w:r>
        <w:rPr>
          <w:color w:val="1F3B63"/>
        </w:rPr>
        <w:t>8. Referencias</w:t>
      </w:r>
    </w:p>
    <w:p>
      <w:r>
        <w:t>POL-01 · POL-20 · PRO-06 · PRO-13 · PCS-02 · PCS-10.</w:t>
      </w:r>
    </w:p>
    <w:p>
      <w:pPr>
        <w:pStyle w:val="Heading2"/>
      </w:pPr>
      <w:r>
        <w:rPr>
          <w:color w:val="1F3B63"/>
        </w:rPr>
        <w:t>9. Evidencia en el kit</w:t>
      </w:r>
    </w:p>
    <w:p>
      <w:r>
        <w:t>ID-02 (matriz de riesgos) · GV-03 (registro de decisiones) · URCDP-04 (EIPD) · BCU-01 (reportes).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