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PCS-03 · Proceso de Gestión de Incidentes</w:t>
      </w:r>
    </w:p>
    <w:p>
      <w:pPr>
        <w:ind w:left="432"/>
      </w:pPr>
      <w:r>
        <w:rPr>
          <w:i/>
          <w:color w:val="606060"/>
        </w:rPr>
        <w:t>**Función del MCU 5.0:** Detectar (DE.AE) · Responder (RS.RP, RS.CO) · Recuperar (RC.RP)</w:t>
      </w:r>
    </w:p>
    <w:p>
      <w:pPr>
        <w:ind w:left="432"/>
      </w:pPr>
      <w:r>
        <w:rPr>
          <w:i/>
          <w:color w:val="606060"/>
        </w:rPr>
        <w:t>**ISO/IEC 27001:** A.5.24-A.5.28 (planificación y gestión de incidentes) · A.5.25 (evaluación)</w:t>
      </w:r>
    </w:p>
    <w:p>
      <w:pPr>
        <w:ind w:left="432"/>
      </w:pPr>
      <w:r>
        <w:rPr>
          <w:i/>
          <w:color w:val="606060"/>
        </w:rPr>
        <w:t>**BCU:** EMG / RNRCSF — gestión y notificación de incidentes cibernéticos al supervisor</w:t>
      </w:r>
    </w:p>
    <w:p>
      <w:pPr>
        <w:ind w:left="432"/>
      </w:pPr>
      <w:r>
        <w:rPr>
          <w:i/>
          <w:color w:val="606060"/>
        </w:rPr>
        <w:t>**URCDP:** Decreto 64/020 — notificación de vulneraciones de datos personales en 72 h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ind w:left="432"/>
      </w:pPr>
      <w:r>
        <w:rPr>
          <w:i/>
          <w:color w:val="606060"/>
        </w:rPr>
        <w:t>**Ejecuta:** POL-07 (y PRO-04 / PRO-05 como apoyo)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Detectar, clasificar, contener, erradicar y recuperar los </w:t>
      </w:r>
      <w:r>
        <w:rPr>
          <w:b/>
        </w:rPr>
        <w:t>incidentes de seguridad</w:t>
      </w:r>
      <w:r>
        <w:t xml:space="preserve"> con trazabilidad, minimizando el impacto y cumpliendo las obligaciones de notificación. Aplica a todos los sistemas, datos e instalaciones, incluido el entorno de IA.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Alertas de monitoreo y SIEM (POL-13, PCS-09).</w:t>
      </w:r>
    </w:p>
    <w:p>
      <w:pPr>
        <w:pStyle w:val="ListBullet"/>
      </w:pPr>
      <w:r>
        <w:t>Reportes del personal, proveedores y terceros.</w:t>
      </w:r>
    </w:p>
    <w:p>
      <w:pPr>
        <w:pStyle w:val="ListBullet"/>
      </w:pPr>
      <w:r>
        <w:t>Avisos externos (CERT-UY, BCU, ISACs).</w:t>
      </w:r>
    </w:p>
    <w:p>
      <w:pPr>
        <w:pStyle w:val="ListBullet"/>
      </w:pPr>
      <w:r>
        <w:t>Registro de incidentes previos y lecciones aprendidas.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Registrar y clasificar.</w:t>
      </w:r>
    </w:p>
    <w:p>
      <w:pPr>
        <w:pStyle w:val="ListBullet"/>
      </w:pPr>
      <w:r>
        <w:rPr>
          <w:b/>
        </w:rPr>
        <w:t>Responsable:</w:t>
      </w:r>
      <w:r>
        <w:t xml:space="preserve"> Mesa de Ayuda / RSI.</w:t>
      </w:r>
    </w:p>
    <w:p>
      <w:pPr>
        <w:pStyle w:val="ListBullet"/>
      </w:pPr>
      <w:r>
        <w:rPr>
          <w:b/>
        </w:rPr>
        <w:t>Pasos:</w:t>
      </w:r>
      <w:r>
        <w:t xml:space="preserve"> (a) recibir el reporte con datos mínimos (qué, cuándo, dónde, evidencia), (b) registrar en el registro de incidentes, (c) clasificar por nivel (leve/moderado/grave/crítico) y tipo (malware, phishing, acceso no autorizado, fuga, DDoS).</w:t>
      </w:r>
    </w:p>
    <w:p>
      <w:pPr>
        <w:pStyle w:val="ListBullet"/>
      </w:pPr>
      <w:r>
        <w:rPr>
          <w:b/>
        </w:rPr>
        <w:t>Salida:</w:t>
      </w:r>
      <w:r>
        <w:t xml:space="preserve"> Ticket de incidente con nivel asignado.</w:t>
      </w:r>
    </w:p>
    <w:p>
      <w:pPr>
        <w:pStyle w:val="ListBullet"/>
      </w:pPr>
      <w:r>
        <w:rPr>
          <w:b/>
        </w:rPr>
        <w:t>Plazo:</w:t>
      </w:r>
      <w:r>
        <w:t xml:space="preserve"> Inmediato; primera evaluación en 30 min.</w:t>
      </w:r>
    </w:p>
    <w:p>
      <w:r>
        <w:rPr>
          <w:b/>
        </w:rPr>
        <w:t>3.2 — Contener.</w:t>
      </w:r>
    </w:p>
    <w:p>
      <w:pPr>
        <w:pStyle w:val="ListBullet"/>
      </w:pPr>
      <w:r>
        <w:rPr>
          <w:b/>
        </w:rPr>
        <w:t>Responsable:</w:t>
      </w:r>
      <w:r>
        <w:t xml:space="preserve"> RSI (CERT interno) con Div. TI.</w:t>
      </w:r>
    </w:p>
    <w:p>
      <w:pPr>
        <w:pStyle w:val="ListBullet"/>
      </w:pPr>
      <w:r>
        <w:rPr>
          <w:b/>
        </w:rPr>
        <w:t>Pasos:</w:t>
      </w:r>
      <w:r>
        <w:t xml:space="preserve"> (a) aislar lo afectado (red, cuentas, servicios), (b) preservar evidencia (logs, imágenes, muestras), (c) evitar la propagación.</w:t>
      </w:r>
    </w:p>
    <w:p>
      <w:pPr>
        <w:pStyle w:val="ListBullet"/>
      </w:pPr>
      <w:r>
        <w:rPr>
          <w:b/>
        </w:rPr>
        <w:t>Salida:</w:t>
      </w:r>
      <w:r>
        <w:t xml:space="preserve"> Incidente contenido; evidencia preservada.</w:t>
      </w:r>
    </w:p>
    <w:p>
      <w:pPr>
        <w:pStyle w:val="ListBullet"/>
      </w:pPr>
      <w:r>
        <w:rPr>
          <w:b/>
        </w:rPr>
        <w:t>Plazo:</w:t>
      </w:r>
      <w:r>
        <w:t xml:space="preserve"> Según nivel (crítico: inmediato).</w:t>
      </w:r>
    </w:p>
    <w:p>
      <w:r>
        <w:rPr>
          <w:b/>
        </w:rPr>
        <w:t>3.3 — Investigar (causa raíz y alcance).</w:t>
      </w:r>
    </w:p>
    <w:p>
      <w:pPr>
        <w:pStyle w:val="ListBullet"/>
      </w:pPr>
      <w:r>
        <w:rPr>
          <w:b/>
        </w:rPr>
        <w:t>Responsable:</w:t>
      </w:r>
      <w:r>
        <w:t xml:space="preserve"> RSI con apoyo forense si aplica.</w:t>
      </w:r>
    </w:p>
    <w:p>
      <w:pPr>
        <w:pStyle w:val="ListBullet"/>
      </w:pPr>
      <w:r>
        <w:rPr>
          <w:b/>
        </w:rPr>
        <w:t>Pasos:</w:t>
      </w:r>
      <w:r>
        <w:t xml:space="preserve"> (a) analizar logs, correos y artefactos, (b) determinar causa raíz y alcance (datos, sistemas, usuarios afectados), (c) documentar la línea de tiempo.</w:t>
      </w:r>
    </w:p>
    <w:p>
      <w:pPr>
        <w:pStyle w:val="ListBullet"/>
      </w:pPr>
      <w:r>
        <w:rPr>
          <w:b/>
        </w:rPr>
        <w:t>Salida:</w:t>
      </w:r>
      <w:r>
        <w:t xml:space="preserve"> Análisis de causa raíz y alcance.</w:t>
      </w:r>
    </w:p>
    <w:p>
      <w:pPr>
        <w:pStyle w:val="ListBullet"/>
      </w:pPr>
      <w:r>
        <w:rPr>
          <w:b/>
        </w:rPr>
        <w:t>Plazo:</w:t>
      </w:r>
      <w:r>
        <w:t xml:space="preserve"> Moderados: 48 h · graves/críticos: en curso continuo.</w:t>
      </w:r>
    </w:p>
    <w:p>
      <w:r>
        <w:rPr>
          <w:b/>
        </w:rPr>
        <w:t>3.4 — Evaluar obligaciones de notificación.</w:t>
      </w:r>
    </w:p>
    <w:p>
      <w:pPr>
        <w:pStyle w:val="ListBullet"/>
      </w:pPr>
      <w:r>
        <w:rPr>
          <w:b/>
        </w:rPr>
        <w:t>Responsable:</w:t>
      </w:r>
      <w:r>
        <w:t xml:space="preserve"> DPD (datos personales) y RSI (BCU).</w:t>
      </w:r>
    </w:p>
    <w:p>
      <w:pPr>
        <w:pStyle w:val="ListBullet"/>
      </w:pPr>
      <w:r>
        <w:rPr>
          <w:b/>
        </w:rPr>
        <w:t>Pasos:</w:t>
      </w:r>
      <w:r>
        <w:t xml:space="preserve"> (a) determinar si hay datos personales comprometidos y riesgo para titulares, (b) notificar a la URCDP en 72 h si aplica (PRO-05), (c) reportar al BCU los incidentes cibernéticos relevantes.</w:t>
      </w:r>
    </w:p>
    <w:p>
      <w:pPr>
        <w:pStyle w:val="ListBullet"/>
      </w:pPr>
      <w:r>
        <w:rPr>
          <w:b/>
        </w:rPr>
        <w:t>Salida:</w:t>
      </w:r>
      <w:r>
        <w:t xml:space="preserve"> Notificaciones emitidas y registradas.</w:t>
      </w:r>
    </w:p>
    <w:p>
      <w:pPr>
        <w:pStyle w:val="ListBullet"/>
      </w:pPr>
      <w:r>
        <w:rPr>
          <w:b/>
        </w:rPr>
        <w:t>Plazo:</w:t>
      </w:r>
      <w:r>
        <w:t xml:space="preserve"> 72 h (URCDP) · según normativa BCU.</w:t>
      </w:r>
    </w:p>
    <w:p>
      <w:r>
        <w:rPr>
          <w:b/>
        </w:rPr>
        <w:t>3.5 — Erradicar y recuperar.</w:t>
      </w:r>
    </w:p>
    <w:p>
      <w:pPr>
        <w:pStyle w:val="ListBullet"/>
      </w:pPr>
      <w:r>
        <w:rPr>
          <w:b/>
        </w:rPr>
        <w:t>Responsable:</w:t>
      </w:r>
      <w:r>
        <w:t xml:space="preserve"> Div. TI con RSI.</w:t>
      </w:r>
    </w:p>
    <w:p>
      <w:pPr>
        <w:pStyle w:val="ListBullet"/>
      </w:pPr>
      <w:r>
        <w:rPr>
          <w:b/>
        </w:rPr>
        <w:t>Pasos:</w:t>
      </w:r>
      <w:r>
        <w:t xml:space="preserve"> (a) eliminar la causa (malware, acceso, configuración), (b) restaurar desde respaldos limpios (PCS-06), (c) validar el funcionamiento y vigilar recaídas.</w:t>
      </w:r>
    </w:p>
    <w:p>
      <w:pPr>
        <w:pStyle w:val="ListBullet"/>
      </w:pPr>
      <w:r>
        <w:rPr>
          <w:b/>
        </w:rPr>
        <w:t>Salida:</w:t>
      </w:r>
      <w:r>
        <w:t xml:space="preserve"> Servicio restaurado y verificado.</w:t>
      </w:r>
    </w:p>
    <w:p>
      <w:pPr>
        <w:pStyle w:val="ListBullet"/>
      </w:pPr>
      <w:r>
        <w:rPr>
          <w:b/>
        </w:rPr>
        <w:t>Plazo:</w:t>
      </w:r>
      <w:r>
        <w:t xml:space="preserve"> Según el plan de recuperación del incidente.</w:t>
      </w:r>
    </w:p>
    <w:p>
      <w:r>
        <w:rPr>
          <w:b/>
        </w:rPr>
        <w:t>3.6 — Cerrar y aprender.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documentar el informe final (línea de tiempo, causa raíz, impacto, acciones), (b) definir plan de acción de mejoras, (c) comunicar lecciones al personal (PRO-12).</w:t>
      </w:r>
    </w:p>
    <w:p>
      <w:pPr>
        <w:pStyle w:val="ListBullet"/>
      </w:pPr>
      <w:r>
        <w:rPr>
          <w:b/>
        </w:rPr>
        <w:t>Salida:</w:t>
      </w:r>
      <w:r>
        <w:t xml:space="preserve"> Informe de incidente y plan de mejora.</w:t>
      </w:r>
    </w:p>
    <w:p>
      <w:pPr>
        <w:pStyle w:val="ListBullet"/>
      </w:pPr>
      <w:r>
        <w:rPr>
          <w:b/>
        </w:rPr>
        <w:t>Plazo:</w:t>
      </w:r>
      <w:r>
        <w:t xml:space="preserve"> 10 días hábiles tras la recuperación.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Registro de incidentes completo (RS-01).</w:t>
      </w:r>
    </w:p>
    <w:p>
      <w:pPr>
        <w:pStyle w:val="ListBullet"/>
      </w:pPr>
      <w:r>
        <w:t>Informes de incidente y análisis de causa raíz.</w:t>
      </w:r>
    </w:p>
    <w:p>
      <w:pPr>
        <w:pStyle w:val="ListBullet"/>
      </w:pPr>
      <w:r>
        <w:t>Notificaciones a URCDP/BCU.</w:t>
      </w:r>
    </w:p>
    <w:p>
      <w:pPr>
        <w:pStyle w:val="ListBullet"/>
      </w:pPr>
      <w:r>
        <w:t>Plan de acción de mejoras.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Mesa de Ayuda</w:t>
            </w:r>
          </w:p>
        </w:tc>
        <w:tc>
          <w:tcPr>
            <w:tcW w:type="dxa" w:w="4824"/>
          </w:tcPr>
          <w:p>
            <w:r/>
            <w:r>
              <w:t>Primer registro y contacto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 (CERT interno)</w:t>
            </w:r>
          </w:p>
        </w:tc>
        <w:tc>
          <w:tcPr>
            <w:tcW w:type="dxa" w:w="4824"/>
          </w:tcPr>
          <w:p>
            <w:r/>
            <w:r>
              <w:t>Investigación, contención y cierre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Aislamiento, erradicación y recuperación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Notificación a la URCDP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Incidentes / Dirección</w:t>
            </w:r>
          </w:p>
        </w:tc>
        <w:tc>
          <w:tcPr>
            <w:tcW w:type="dxa" w:w="4824"/>
          </w:tcPr>
          <w:p>
            <w:r/>
            <w:r>
              <w:t>Decisiones críticas y comunicación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Comunicación</w:t>
            </w:r>
          </w:p>
        </w:tc>
        <w:tc>
          <w:tcPr>
            <w:tcW w:type="dxa" w:w="4824"/>
          </w:tcPr>
          <w:p>
            <w:r/>
            <w:r>
              <w:t>Comunicación externa si aplica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Tiempo medio de detección (MTTD) y de respuesta (MTTR).</w:t>
      </w:r>
    </w:p>
    <w:p>
      <w:pPr>
        <w:pStyle w:val="ListBullet"/>
      </w:pPr>
      <w:r>
        <w:t>% de incidentes con análisis de causa raíz (meta ≥ 80% de graves).</w:t>
      </w:r>
    </w:p>
    <w:p>
      <w:pPr>
        <w:pStyle w:val="ListBullet"/>
      </w:pPr>
      <w:r>
        <w:t>% de notificaciones a URCDP dentro de 72 h (meta 100%).</w:t>
      </w:r>
    </w:p>
    <w:p>
      <w:pPr>
        <w:pStyle w:val="ListBullet"/>
      </w:pPr>
      <w:r>
        <w:t>% de incidentes recurrentes (meta: decreciente).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Tickets e informe de incidentes.</w:t>
      </w:r>
    </w:p>
    <w:p>
      <w:pPr>
        <w:pStyle w:val="ListBullet"/>
      </w:pPr>
      <w:r>
        <w:t>Registro de notificaciones.</w:t>
      </w:r>
    </w:p>
    <w:p>
      <w:pPr>
        <w:pStyle w:val="ListBullet"/>
      </w:pPr>
      <w:r>
        <w:t>Lecciones aprendidas y plan de acción.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POL-07 · POL-13 · PRO-04 · PRO-05 · PCS-06 · PCS-09.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RS-01 (registro de incidentes) · DE-01/DE-02 (detección) · URCDP-03 (notificaciones) · BCU (reportes).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