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PCS-05 · Proceso de Gestión de Cambios</w:t>
      </w:r>
    </w:p>
    <w:p>
      <w:pPr>
        <w:ind w:left="432"/>
      </w:pPr>
      <w:r>
        <w:rPr>
          <w:i/>
          <w:color w:val="606060"/>
        </w:rPr>
        <w:t>**Función del MCU 5.0:** Gobernar (GV.OR — gestión del cambio) · Proteger (PR.IP — cambios controlados)</w:t>
      </w:r>
    </w:p>
    <w:p>
      <w:pPr>
        <w:ind w:left="432"/>
      </w:pPr>
      <w:r>
        <w:rPr>
          <w:i/>
          <w:color w:val="606060"/>
        </w:rPr>
        <w:t>**ISO/IEC 27001:** A.8.31-A.8.32 (gestión del cambio y de TI) · A.8.9 (configuración)</w:t>
      </w:r>
    </w:p>
    <w:p>
      <w:pPr>
        <w:ind w:left="432"/>
      </w:pPr>
      <w:r>
        <w:rPr>
          <w:i/>
          <w:color w:val="606060"/>
        </w:rPr>
        <w:t>**BCU:** EMG — todo cambio en sistemas se gestiona con aprobación, prueba y trazabilidad</w:t>
      </w:r>
    </w:p>
    <w:p>
      <w:pPr>
        <w:ind w:left="432"/>
      </w:pPr>
      <w:r>
        <w:rPr>
          <w:i/>
          <w:color w:val="606060"/>
        </w:rPr>
        <w:t>**URCDP:** Ley 18.331 art. 10 — los cambios no pueden debilitar la protección de datos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ind w:left="432"/>
      </w:pPr>
      <w:r>
        <w:rPr>
          <w:i/>
          <w:color w:val="606060"/>
        </w:rPr>
        <w:t>**Ejecuta:** POL-06 (y PRO-11 como apoyo)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Planificar, aprobar, implementar y registrar </w:t>
      </w:r>
      <w:r>
        <w:rPr>
          <w:b/>
        </w:rPr>
        <w:t>todo cambio</w:t>
      </w:r>
      <w:r>
        <w:t xml:space="preserve"> sobre sistemas, aplicaciones, red, configuración, nube y entorno de IA, reduciendo fallas e impactos no previstos. Aplica a producción y a entornos relevantes.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Solicitud de cambio (RFC) con justificación e impacto esperado.</w:t>
      </w:r>
    </w:p>
    <w:p>
      <w:pPr>
        <w:pStyle w:val="ListBullet"/>
      </w:pPr>
      <w:r>
        <w:t>Resultados de pruebas y plan de retorno.</w:t>
      </w:r>
    </w:p>
    <w:p>
      <w:pPr>
        <w:pStyle w:val="ListBullet"/>
      </w:pPr>
      <w:r>
        <w:t>Ventanas de cambio aprobadas.</w:t>
      </w:r>
    </w:p>
    <w:p>
      <w:pPr>
        <w:pStyle w:val="ListBullet"/>
      </w:pPr>
      <w:r>
        <w:t>Clasificación del cambio (rutinario / normal / emergencia).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Solicitar el cambio.</w:t>
      </w:r>
    </w:p>
    <w:p>
      <w:pPr>
        <w:pStyle w:val="ListBullet"/>
      </w:pPr>
      <w:r>
        <w:rPr>
          <w:b/>
        </w:rPr>
        <w:t>Responsable:</w:t>
      </w:r>
      <w:r>
        <w:t xml:space="preserve"> Solicitante (área o Div. TI).</w:t>
      </w:r>
    </w:p>
    <w:p>
      <w:pPr>
        <w:pStyle w:val="ListBullet"/>
      </w:pPr>
      <w:r>
        <w:rPr>
          <w:b/>
        </w:rPr>
        <w:t>Pasos:</w:t>
      </w:r>
      <w:r>
        <w:t xml:space="preserve"> (a) documentar descripción, motivo, activos afectados, impacto en negocio y riesgo, (b) definir el plan de retorno (rollback), (c) enviar la RFC.</w:t>
      </w:r>
    </w:p>
    <w:p>
      <w:pPr>
        <w:pStyle w:val="ListBullet"/>
      </w:pPr>
      <w:r>
        <w:rPr>
          <w:b/>
        </w:rPr>
        <w:t>Salida:</w:t>
      </w:r>
      <w:r>
        <w:t xml:space="preserve"> RFC registrada.</w:t>
      </w:r>
    </w:p>
    <w:p>
      <w:pPr>
        <w:pStyle w:val="ListBullet"/>
      </w:pPr>
      <w:r>
        <w:rPr>
          <w:b/>
        </w:rPr>
        <w:t>Plazo:</w:t>
      </w:r>
      <w:r>
        <w:t xml:space="preserve"> Con la anticipación que exija su categoría.</w:t>
      </w:r>
    </w:p>
    <w:p>
      <w:r>
        <w:rPr>
          <w:b/>
        </w:rPr>
        <w:t>3.2 — Evaluar el impacto y el riesgo.</w:t>
      </w:r>
    </w:p>
    <w:p>
      <w:pPr>
        <w:pStyle w:val="ListBullet"/>
      </w:pPr>
      <w:r>
        <w:rPr>
          <w:b/>
        </w:rPr>
        <w:t>Responsable:</w:t>
      </w:r>
      <w:r>
        <w:t xml:space="preserve"> Dueño del sistema + RSI.</w:t>
      </w:r>
    </w:p>
    <w:p>
      <w:pPr>
        <w:pStyle w:val="ListBullet"/>
      </w:pPr>
      <w:r>
        <w:rPr>
          <w:b/>
        </w:rPr>
        <w:t>Pasos:</w:t>
      </w:r>
      <w:r>
        <w:t xml:space="preserve"> (a) evaluar impacto funcional y técnico, (b) evaluar el riesgo de seguridad (¿expone datos?, ¿abre puertos?, ¿cambia accesos?), (c) definir la categoría final del cambio.</w:t>
      </w:r>
    </w:p>
    <w:p>
      <w:pPr>
        <w:pStyle w:val="ListBullet"/>
      </w:pPr>
      <w:r>
        <w:rPr>
          <w:b/>
        </w:rPr>
        <w:t>Salida:</w:t>
      </w:r>
      <w:r>
        <w:t xml:space="preserve"> RFC evaluada con riesgo y categoría.</w:t>
      </w:r>
    </w:p>
    <w:p>
      <w:pPr>
        <w:pStyle w:val="ListBullet"/>
      </w:pPr>
      <w:r>
        <w:rPr>
          <w:b/>
        </w:rPr>
        <w:t>Plazo:</w:t>
      </w:r>
      <w:r>
        <w:t xml:space="preserve"> 2-5 días hábiles según categoría.</w:t>
      </w:r>
    </w:p>
    <w:p>
      <w:r>
        <w:rPr>
          <w:b/>
        </w:rPr>
        <w:t>3.3 — Probar.</w:t>
      </w:r>
    </w:p>
    <w:p>
      <w:pPr>
        <w:pStyle w:val="ListBullet"/>
      </w:pPr>
      <w:r>
        <w:rPr>
          <w:b/>
        </w:rPr>
        <w:t>Responsable:</w:t>
      </w:r>
      <w:r>
        <w:t xml:space="preserve"> Div. TI / Desarrollo con QA.</w:t>
      </w:r>
    </w:p>
    <w:p>
      <w:pPr>
        <w:pStyle w:val="ListBullet"/>
      </w:pPr>
      <w:r>
        <w:rPr>
          <w:b/>
        </w:rPr>
        <w:t>Pasos:</w:t>
      </w:r>
      <w:r>
        <w:t xml:space="preserve"> (a) probar en ambiente controlado, (b) validar que los controles de seguridad se mantienen (PRO-10, PRO-03), (c) registrar los resultados.</w:t>
      </w:r>
    </w:p>
    <w:p>
      <w:pPr>
        <w:pStyle w:val="ListBullet"/>
      </w:pPr>
      <w:r>
        <w:rPr>
          <w:b/>
        </w:rPr>
        <w:t>Salida:</w:t>
      </w:r>
      <w:r>
        <w:t xml:space="preserve"> Evidencia de pruebas.</w:t>
      </w:r>
    </w:p>
    <w:p>
      <w:pPr>
        <w:pStyle w:val="ListBullet"/>
      </w:pPr>
      <w:r>
        <w:rPr>
          <w:b/>
        </w:rPr>
        <w:t>Plazo:</w:t>
      </w:r>
      <w:r>
        <w:t xml:space="preserve"> Antes de la aprobación.</w:t>
      </w:r>
    </w:p>
    <w:p>
      <w:r>
        <w:rPr>
          <w:b/>
        </w:rPr>
        <w:t>3.4 — Aprobar.</w:t>
      </w:r>
    </w:p>
    <w:p>
      <w:pPr>
        <w:pStyle w:val="ListBullet"/>
      </w:pPr>
      <w:r>
        <w:rPr>
          <w:b/>
        </w:rPr>
        <w:t>Responsable:</w:t>
      </w:r>
      <w:r>
        <w:t xml:space="preserve"> CAB para cambios normales; RSI para cambios de seguridad; doble aprobación para emergencias.</w:t>
      </w:r>
    </w:p>
    <w:p>
      <w:pPr>
        <w:pStyle w:val="ListBullet"/>
      </w:pPr>
      <w:r>
        <w:rPr>
          <w:b/>
        </w:rPr>
        <w:t>Pasos:</w:t>
      </w:r>
      <w:r>
        <w:t xml:space="preserve"> (a) revisar RFC, riesgo y pruebas, (b) decidir aprobar / rechazar / diferir, (c) registrar la decisión.</w:t>
      </w:r>
    </w:p>
    <w:p>
      <w:pPr>
        <w:pStyle w:val="ListBullet"/>
      </w:pPr>
      <w:r>
        <w:rPr>
          <w:b/>
        </w:rPr>
        <w:t>Salida:</w:t>
      </w:r>
      <w:r>
        <w:t xml:space="preserve"> RFC aprobada con firmas.</w:t>
      </w:r>
    </w:p>
    <w:p>
      <w:pPr>
        <w:pStyle w:val="ListBullet"/>
      </w:pPr>
      <w:r>
        <w:rPr>
          <w:b/>
        </w:rPr>
        <w:t>Plazo:</w:t>
      </w:r>
      <w:r>
        <w:t xml:space="preserve"> Según el calendario del CAB (reunión periódica).</w:t>
      </w:r>
    </w:p>
    <w:p>
      <w:r>
        <w:rPr>
          <w:b/>
        </w:rPr>
        <w:t>3.5 — Implementar en la ventana.</w:t>
      </w:r>
    </w:p>
    <w:p>
      <w:pPr>
        <w:pStyle w:val="ListBullet"/>
      </w:pPr>
      <w:r>
        <w:rPr>
          <w:b/>
        </w:rPr>
        <w:t>Responsable:</w:t>
      </w:r>
      <w:r>
        <w:t xml:space="preserve"> Div. TI / DevOps.</w:t>
      </w:r>
    </w:p>
    <w:p>
      <w:pPr>
        <w:pStyle w:val="ListBullet"/>
      </w:pPr>
      <w:r>
        <w:rPr>
          <w:b/>
        </w:rPr>
        <w:t>Pasos:</w:t>
      </w:r>
      <w:r>
        <w:t xml:space="preserve"> (a) ejecutar el cambio en la ventana definida, (b) supervisar la implementación, (c) en caso de falla, ejecutar el plan de retorno.</w:t>
      </w:r>
    </w:p>
    <w:p>
      <w:pPr>
        <w:pStyle w:val="ListBullet"/>
      </w:pPr>
      <w:r>
        <w:rPr>
          <w:b/>
        </w:rPr>
        <w:t>Salida:</w:t>
      </w:r>
      <w:r>
        <w:t xml:space="preserve"> Cambio implementado (o revertido).</w:t>
      </w:r>
    </w:p>
    <w:p>
      <w:pPr>
        <w:pStyle w:val="ListBullet"/>
      </w:pPr>
      <w:r>
        <w:rPr>
          <w:b/>
        </w:rPr>
        <w:t>Plazo:</w:t>
      </w:r>
      <w:r>
        <w:t xml:space="preserve"> En la ventana aprobada.</w:t>
      </w:r>
    </w:p>
    <w:p>
      <w:r>
        <w:rPr>
          <w:b/>
        </w:rPr>
        <w:t>3.6 — Verificar y cerrar.</w:t>
      </w:r>
    </w:p>
    <w:p>
      <w:pPr>
        <w:pStyle w:val="ListBullet"/>
      </w:pPr>
      <w:r>
        <w:rPr>
          <w:b/>
        </w:rPr>
        <w:t>Responsable:</w:t>
      </w:r>
      <w:r>
        <w:t xml:space="preserve"> Dueño del sistema + RSI.</w:t>
      </w:r>
    </w:p>
    <w:p>
      <w:pPr>
        <w:pStyle w:val="ListBullet"/>
      </w:pPr>
      <w:r>
        <w:rPr>
          <w:b/>
        </w:rPr>
        <w:t>Pasos:</w:t>
      </w:r>
      <w:r>
        <w:t xml:space="preserve"> (a) verificar el funcionamiento en producción, (b) confirmar que la seguridad no se degradó, (c) cerrar la RFC con el resultado.</w:t>
      </w:r>
    </w:p>
    <w:p>
      <w:pPr>
        <w:pStyle w:val="ListBullet"/>
      </w:pPr>
      <w:r>
        <w:rPr>
          <w:b/>
        </w:rPr>
        <w:t>Salida:</w:t>
      </w:r>
      <w:r>
        <w:t xml:space="preserve"> RFC cerrada con resultado.</w:t>
      </w:r>
    </w:p>
    <w:p>
      <w:pPr>
        <w:pStyle w:val="ListBullet"/>
      </w:pPr>
      <w:r>
        <w:rPr>
          <w:b/>
        </w:rPr>
        <w:t>Plazo:</w:t>
      </w:r>
      <w:r>
        <w:t xml:space="preserve"> 5 días hábiles tras la implementación.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RFC con historial completo (solicitud, evaluación, pruebas, aprobación, implementación, cierre).</w:t>
      </w:r>
    </w:p>
    <w:p>
      <w:pPr>
        <w:pStyle w:val="ListBullet"/>
      </w:pPr>
      <w:r>
        <w:t>Registro de cambios de emergencia.</w:t>
      </w:r>
    </w:p>
    <w:p>
      <w:pPr>
        <w:pStyle w:val="ListBullet"/>
      </w:pPr>
      <w:r>
        <w:t>Ventanas de cambio y calendario del CAB.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Solicitante</w:t>
            </w:r>
          </w:p>
        </w:tc>
        <w:tc>
          <w:tcPr>
            <w:tcW w:type="dxa" w:w="4824"/>
          </w:tcPr>
          <w:p>
            <w:r/>
            <w:r>
              <w:t>Describe y justifica el cambio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 del sistema</w:t>
            </w:r>
          </w:p>
        </w:tc>
        <w:tc>
          <w:tcPr>
            <w:tcW w:type="dxa" w:w="4824"/>
          </w:tcPr>
          <w:p>
            <w:r/>
            <w:r>
              <w:t>Evalúa impacto y aprueba el negocio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CAB (Comité de Cambios)</w:t>
            </w:r>
          </w:p>
        </w:tc>
        <w:tc>
          <w:tcPr>
            <w:tcW w:type="dxa" w:w="4824"/>
          </w:tcPr>
          <w:p>
            <w:r/>
            <w:r>
              <w:t>Aprueba los cambios normales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Evalúa y aprueba el riesgo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 / DevOps</w:t>
            </w:r>
          </w:p>
        </w:tc>
        <w:tc>
          <w:tcPr>
            <w:tcW w:type="dxa" w:w="4824"/>
          </w:tcPr>
          <w:p>
            <w:r/>
            <w:r>
              <w:t>Prueba e implementa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cambios aprobados que fallan en producción (meta &lt; 5%).</w:t>
      </w:r>
    </w:p>
    <w:p>
      <w:pPr>
        <w:pStyle w:val="ListBullet"/>
      </w:pPr>
      <w:r>
        <w:t>% de cambios con RFC documentada (meta 100%).</w:t>
      </w:r>
    </w:p>
    <w:p>
      <w:pPr>
        <w:pStyle w:val="ListBullet"/>
      </w:pPr>
      <w:r>
        <w:t>Tiempo medio de implementación de emergencias.</w:t>
      </w:r>
    </w:p>
    <w:p>
      <w:pPr>
        <w:pStyle w:val="ListBullet"/>
      </w:pPr>
      <w:r>
        <w:t>% de cambios revertidos con éxito.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RFC y actas del CAB.</w:t>
      </w:r>
    </w:p>
    <w:p>
      <w:pPr>
        <w:pStyle w:val="ListBullet"/>
      </w:pPr>
      <w:r>
        <w:t>Evidencias de pruebas.</w:t>
      </w:r>
    </w:p>
    <w:p>
      <w:pPr>
        <w:pStyle w:val="ListBullet"/>
      </w:pPr>
      <w:r>
        <w:t>Registro de implementaciones y retornos.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POL-06 · PRO-10 · PRO-11 · PCS-02 (parches) · PCS-07 (proveedores).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PR-07 (registro de cambios) · BCU-04 · auditorías de cambios.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