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PCS-07 · Proceso de Gestión de Proveedores y Terceros</w:t>
      </w:r>
    </w:p>
    <w:p>
      <w:pPr>
        <w:ind w:left="432"/>
      </w:pPr>
      <w:r>
        <w:rPr>
          <w:i/>
          <w:color w:val="606060"/>
        </w:rPr>
        <w:t>**Función del MCU 5.0:** Gobernar (GV.SC — gestión de la cadena de suministro)</w:t>
      </w:r>
    </w:p>
    <w:p>
      <w:pPr>
        <w:ind w:left="432"/>
      </w:pPr>
      <w:r>
        <w:rPr>
          <w:i/>
          <w:color w:val="606060"/>
        </w:rPr>
        <w:t>**ISO/IEC 27001:** A.5.19-A.5.22 (relaciones con proveedores, incluida la nube) · A.5.20-A.5.21 (acuerdos y seguimiento)</w:t>
      </w:r>
    </w:p>
    <w:p>
      <w:pPr>
        <w:ind w:left="432"/>
      </w:pPr>
      <w:r>
        <w:rPr>
          <w:i/>
          <w:color w:val="606060"/>
        </w:rPr>
        <w:t>**BCU:** EMG / RNRCSF — los terceros que prestan servicios de TIC mantienen el nivel de control del Banco</w:t>
      </w:r>
    </w:p>
    <w:p>
      <w:pPr>
        <w:ind w:left="432"/>
      </w:pPr>
      <w:r>
        <w:rPr>
          <w:i/>
          <w:color w:val="606060"/>
        </w:rPr>
        <w:t>**URCDP:** Ley 18.331 art. 18 — garantías de los encargados de tratamiento y transferencias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ind w:left="432"/>
      </w:pPr>
      <w:r>
        <w:rPr>
          <w:i/>
          <w:color w:val="606060"/>
        </w:rPr>
        <w:t>**Ejecuta:** POL-11 (y PRO-13 como apoyo)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Asegurar que los </w:t>
      </w:r>
      <w:r>
        <w:rPr>
          <w:b/>
        </w:rPr>
        <w:t>proveedores y terceros</w:t>
      </w:r>
      <w:r>
        <w:t xml:space="preserve"> que acceden a sistemas, información o instalaciones del Banco cumplen un nivel de seguridad equivalente, </w:t>
      </w:r>
      <w:r>
        <w:rPr>
          <w:b/>
        </w:rPr>
        <w:t>antes, durante y al final</w:t>
      </w:r>
      <w:r>
        <w:t xml:space="preserve"> de la relación. Aplica a proveedores de TI, nube, mantenimiento, seguridad y otros con acceso.</w:t>
      </w:r>
    </w:p>
    <w:p>
      <w:pPr>
        <w:pStyle w:val="Heading2"/>
      </w:pPr>
      <w:r>
        <w:rPr>
          <w:color w:val="1F3B63"/>
        </w:rPr>
        <w:t>2. Entradas</w:t>
      </w:r>
    </w:p>
    <w:p>
      <w:pPr>
        <w:pStyle w:val="ListBullet"/>
      </w:pPr>
      <w:r>
        <w:t>Solicitud de contratación con el alcance del acceso/información.</w:t>
      </w:r>
    </w:p>
    <w:p>
      <w:pPr>
        <w:pStyle w:val="ListBullet"/>
      </w:pPr>
      <w:r>
        <w:t>Cuestionarios de seguridad y certificaciones del proveedor.</w:t>
      </w:r>
    </w:p>
    <w:p>
      <w:pPr>
        <w:pStyle w:val="ListBullet"/>
      </w:pPr>
      <w:r>
        <w:t>Contratos y anexos de seguridad.</w:t>
      </w:r>
    </w:p>
    <w:p>
      <w:pPr>
        <w:pStyle w:val="ListBullet"/>
      </w:pPr>
      <w:r>
        <w:t>Reportes de seguimiento e incidentes de proveedores.</w:t>
      </w:r>
    </w:p>
    <w:p>
      <w:pPr>
        <w:pStyle w:val="Heading2"/>
      </w:pPr>
      <w:r>
        <w:rPr>
          <w:color w:val="1F3B63"/>
        </w:rPr>
        <w:t>3. Actividades numeradas</w:t>
      </w:r>
    </w:p>
    <w:p>
      <w:r>
        <w:rPr>
          <w:b/>
        </w:rPr>
        <w:t>3.1 — Clasificar el riesgo del proveedor.</w:t>
      </w:r>
    </w:p>
    <w:p>
      <w:pPr>
        <w:pStyle w:val="ListBullet"/>
      </w:pPr>
      <w:r>
        <w:rPr>
          <w:b/>
        </w:rPr>
        <w:t>Responsable:</w:t>
      </w:r>
      <w:r>
        <w:t xml:space="preserve"> RSI con el área contratante.</w:t>
      </w:r>
    </w:p>
    <w:p>
      <w:pPr>
        <w:pStyle w:val="ListBullet"/>
      </w:pPr>
      <w:r>
        <w:rPr>
          <w:b/>
        </w:rPr>
        <w:t>Pasos:</w:t>
      </w:r>
      <w:r>
        <w:t xml:space="preserve"> (a) identificar el acceso/información que tendrá, (b) clasificar el riesgo (alto/medio/bajo — PRO-13), (c) registrar el proveedor en el inventario de terceros.</w:t>
      </w:r>
    </w:p>
    <w:p>
      <w:pPr>
        <w:pStyle w:val="ListBullet"/>
      </w:pPr>
      <w:r>
        <w:rPr>
          <w:b/>
        </w:rPr>
        <w:t>Salida:</w:t>
      </w:r>
      <w:r>
        <w:t xml:space="preserve"> Proveedor registrado con nivel de riesgo.</w:t>
      </w:r>
    </w:p>
    <w:p>
      <w:pPr>
        <w:pStyle w:val="ListBullet"/>
      </w:pPr>
      <w:r>
        <w:rPr>
          <w:b/>
        </w:rPr>
        <w:t>Plazo:</w:t>
      </w:r>
      <w:r>
        <w:t xml:space="preserve"> Antes de la contratación.</w:t>
      </w:r>
    </w:p>
    <w:p>
      <w:r>
        <w:rPr>
          <w:b/>
        </w:rPr>
        <w:t>3.2 — Evaluar la seguridad del proveedor.</w:t>
      </w:r>
    </w:p>
    <w:p>
      <w:pPr>
        <w:pStyle w:val="ListBullet"/>
      </w:pPr>
      <w:r>
        <w:rPr>
          <w:b/>
        </w:rPr>
        <w:t>Responsable:</w:t>
      </w:r>
      <w:r>
        <w:t xml:space="preserve"> RSI.</w:t>
      </w:r>
    </w:p>
    <w:p>
      <w:pPr>
        <w:pStyle w:val="ListBullet"/>
      </w:pPr>
      <w:r>
        <w:rPr>
          <w:b/>
        </w:rPr>
        <w:t>Pasos:</w:t>
      </w:r>
      <w:r>
        <w:t xml:space="preserve"> (a) aplicar el cuestionario de seguridad según el riesgo, (b) revisar certificaciones (ISO 27001, SOC 2, PCI) y auditorías, (c) para alto riesgo, evaluar in situ o documental profunda, (d) para nube, aplicar la POL-19.</w:t>
      </w:r>
    </w:p>
    <w:p>
      <w:pPr>
        <w:pStyle w:val="ListBullet"/>
      </w:pPr>
      <w:r>
        <w:rPr>
          <w:b/>
        </w:rPr>
        <w:t>Salida:</w:t>
      </w:r>
      <w:r>
        <w:t xml:space="preserve"> Evaluación de seguridad con resultado (aprobado / aprobado con condiciones / rechazado).</w:t>
      </w:r>
    </w:p>
    <w:p>
      <w:pPr>
        <w:pStyle w:val="ListBullet"/>
      </w:pPr>
      <w:r>
        <w:rPr>
          <w:b/>
        </w:rPr>
        <w:t>Plazo:</w:t>
      </w:r>
      <w:r>
        <w:t xml:space="preserve"> Antes de contratar.</w:t>
      </w:r>
    </w:p>
    <w:p>
      <w:r>
        <w:rPr>
          <w:b/>
        </w:rPr>
        <w:t>3.3 — Definir y firmar las cláusulas.</w:t>
      </w:r>
    </w:p>
    <w:p>
      <w:pPr>
        <w:pStyle w:val="ListBullet"/>
      </w:pPr>
      <w:r>
        <w:rPr>
          <w:b/>
        </w:rPr>
        <w:t>Responsable:</w:t>
      </w:r>
      <w:r>
        <w:t xml:space="preserve"> Legales con RSI y DPD.</w:t>
      </w:r>
    </w:p>
    <w:p>
      <w:pPr>
        <w:pStyle w:val="ListBullet"/>
      </w:pPr>
      <w:r>
        <w:rPr>
          <w:b/>
        </w:rPr>
        <w:t>Pasos:</w:t>
      </w:r>
      <w:r>
        <w:t xml:space="preserve"> (a) incorporar cláusulas: seguridad, notificación de incidentes, tratamiento de datos personales, subcontratación, auditoría, retorno/destrucción de datos, salida, (b) firmar el contrato y el acuerdo de encargado de tratamiento si aplica.</w:t>
      </w:r>
    </w:p>
    <w:p>
      <w:pPr>
        <w:pStyle w:val="ListBullet"/>
      </w:pPr>
      <w:r>
        <w:rPr>
          <w:b/>
        </w:rPr>
        <w:t>Salida:</w:t>
      </w:r>
      <w:r>
        <w:t xml:space="preserve"> Contrato con cláusulas aprobadas (GV-05).</w:t>
      </w:r>
    </w:p>
    <w:p>
      <w:pPr>
        <w:pStyle w:val="ListBullet"/>
      </w:pPr>
      <w:r>
        <w:rPr>
          <w:b/>
        </w:rPr>
        <w:t>Plazo:</w:t>
      </w:r>
      <w:r>
        <w:t xml:space="preserve"> Antes del inicio del servicio.</w:t>
      </w:r>
    </w:p>
    <w:p>
      <w:r>
        <w:rPr>
          <w:b/>
        </w:rPr>
        <w:t>3.4 — Otorgar el acceso controlado.</w:t>
      </w:r>
    </w:p>
    <w:p>
      <w:pPr>
        <w:pStyle w:val="ListBullet"/>
      </w:pPr>
      <w:r>
        <w:rPr>
          <w:b/>
        </w:rPr>
        <w:t>Responsable:</w:t>
      </w:r>
      <w:r>
        <w:t xml:space="preserve"> Div. TI.</w:t>
      </w:r>
    </w:p>
    <w:p>
      <w:pPr>
        <w:pStyle w:val="ListBullet"/>
      </w:pPr>
      <w:r>
        <w:rPr>
          <w:b/>
        </w:rPr>
        <w:t>Pasos:</w:t>
      </w:r>
      <w:r>
        <w:t xml:space="preserve"> (a) crear los accesos con mínimo privilegio y plazo definido, (b) activar MFA, (c) registrar (PRO-01).</w:t>
      </w:r>
    </w:p>
    <w:p>
      <w:pPr>
        <w:pStyle w:val="ListBullet"/>
      </w:pPr>
      <w:r>
        <w:rPr>
          <w:b/>
        </w:rPr>
        <w:t>Salida:</w:t>
      </w:r>
      <w:r>
        <w:t xml:space="preserve"> Acceso de proveedor controlado.</w:t>
      </w:r>
    </w:p>
    <w:p>
      <w:pPr>
        <w:pStyle w:val="ListBullet"/>
      </w:pPr>
      <w:r>
        <w:rPr>
          <w:b/>
        </w:rPr>
        <w:t>Plazo:</w:t>
      </w:r>
      <w:r>
        <w:t xml:space="preserve"> Con el inicio del contrato.</w:t>
      </w:r>
    </w:p>
    <w:p>
      <w:r>
        <w:rPr>
          <w:b/>
        </w:rPr>
        <w:t>3.5 — Supervisar durante la relación.</w:t>
      </w:r>
    </w:p>
    <w:p>
      <w:pPr>
        <w:pStyle w:val="ListBullet"/>
      </w:pPr>
      <w:r>
        <w:rPr>
          <w:b/>
        </w:rPr>
        <w:t>Responsable:</w:t>
      </w:r>
      <w:r>
        <w:t xml:space="preserve"> RSI con el área contratante.</w:t>
      </w:r>
    </w:p>
    <w:p>
      <w:pPr>
        <w:pStyle w:val="ListBullet"/>
      </w:pPr>
      <w:r>
        <w:rPr>
          <w:b/>
        </w:rPr>
        <w:t>Pasos:</w:t>
      </w:r>
      <w:r>
        <w:t xml:space="preserve"> (a) recibir y revisar los informes del proveedor (incidentes, SOC, auditoría), (b) verificar el cumplimiento de los SLA y de las cláusulas, (c) gestionar los incidentes del proveedor con PCS-03, (d) revisar los accesos periódicamente (PCS-04).</w:t>
      </w:r>
    </w:p>
    <w:p>
      <w:pPr>
        <w:pStyle w:val="ListBullet"/>
      </w:pPr>
      <w:r>
        <w:rPr>
          <w:b/>
        </w:rPr>
        <w:t>Salida:</w:t>
      </w:r>
      <w:r>
        <w:t xml:space="preserve"> Registro de seguimiento del proveedor.</w:t>
      </w:r>
    </w:p>
    <w:p>
      <w:pPr>
        <w:pStyle w:val="ListBullet"/>
      </w:pPr>
      <w:r>
        <w:rPr>
          <w:b/>
        </w:rPr>
        <w:t>Plazo:</w:t>
      </w:r>
      <w:r>
        <w:t xml:space="preserve"> Según periodicidad pactada (al menos anual).</w:t>
      </w:r>
    </w:p>
    <w:p>
      <w:r>
        <w:rPr>
          <w:b/>
        </w:rPr>
        <w:t>3.6 — Cerrar la relación con salida segura.</w:t>
      </w:r>
    </w:p>
    <w:p>
      <w:pPr>
        <w:pStyle w:val="ListBullet"/>
      </w:pPr>
      <w:r>
        <w:rPr>
          <w:b/>
        </w:rPr>
        <w:t>Responsable:</w:t>
      </w:r>
      <w:r>
        <w:t xml:space="preserve"> RSI + Div. TI + área contratante.</w:t>
      </w:r>
    </w:p>
    <w:p>
      <w:pPr>
        <w:pStyle w:val="ListBullet"/>
      </w:pPr>
      <w:r>
        <w:rPr>
          <w:b/>
        </w:rPr>
        <w:t>Pasos:</w:t>
      </w:r>
      <w:r>
        <w:t xml:space="preserve"> (a) revocar todos los accesos, (b) exigir el retorno o destrucción de la información y acreditarlo (PRO-09), (c) verificar la eliminación en la nube (POL-19), (d) registrar el cierre.</w:t>
      </w:r>
    </w:p>
    <w:p>
      <w:pPr>
        <w:pStyle w:val="ListBullet"/>
      </w:pPr>
      <w:r>
        <w:rPr>
          <w:b/>
        </w:rPr>
        <w:t>Salida:</w:t>
      </w:r>
      <w:r>
        <w:t xml:space="preserve"> Cierre documentado con acreditación de retorno/destrucción.</w:t>
      </w:r>
    </w:p>
    <w:p>
      <w:pPr>
        <w:pStyle w:val="ListBullet"/>
      </w:pPr>
      <w:r>
        <w:rPr>
          <w:b/>
        </w:rPr>
        <w:t>Plazo:</w:t>
      </w:r>
      <w:r>
        <w:t xml:space="preserve"> Al finalizar el contrato.</w:t>
      </w:r>
    </w:p>
    <w:p>
      <w:pPr>
        <w:pStyle w:val="Heading2"/>
      </w:pPr>
      <w:r>
        <w:rPr>
          <w:color w:val="1F3B63"/>
        </w:rPr>
        <w:t>4. Salidas</w:t>
      </w:r>
    </w:p>
    <w:p>
      <w:pPr>
        <w:pStyle w:val="ListBullet"/>
      </w:pPr>
      <w:r>
        <w:t>Inventario de proveedores con nivel de riesgo (GV-03).</w:t>
      </w:r>
    </w:p>
    <w:p>
      <w:pPr>
        <w:pStyle w:val="ListBullet"/>
      </w:pPr>
      <w:r>
        <w:t>Evaluaciones y contratos con cláusulas (GV-05).</w:t>
      </w:r>
    </w:p>
    <w:p>
      <w:pPr>
        <w:pStyle w:val="ListBullet"/>
      </w:pPr>
      <w:r>
        <w:t>Registro de seguimiento y de incidentes de proveedores.</w:t>
      </w:r>
    </w:p>
    <w:p>
      <w:pPr>
        <w:pStyle w:val="ListBullet"/>
      </w:pPr>
      <w:r>
        <w:t>Acreditación de retorno/destrucción al cierre.</w:t>
      </w:r>
    </w:p>
    <w:p>
      <w:pPr>
        <w:pStyle w:val="Heading2"/>
      </w:pPr>
      <w:r>
        <w:rPr>
          <w:color w:val="1F3B63"/>
        </w:rPr>
        <w:t>5. Responsables del proceso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Área contratante / Compras</w:t>
            </w:r>
          </w:p>
        </w:tc>
        <w:tc>
          <w:tcPr>
            <w:tcW w:type="dxa" w:w="4824"/>
          </w:tcPr>
          <w:p>
            <w:r/>
            <w:r>
              <w:t>Gestiona la relación comercial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Evalúa y supervisa la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Legales</w:t>
            </w:r>
          </w:p>
        </w:tc>
        <w:tc>
          <w:tcPr>
            <w:tcW w:type="dxa" w:w="4824"/>
          </w:tcPr>
          <w:p>
            <w:r/>
            <w:r>
              <w:t>Redacta y firma las cláusulas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4824"/>
          </w:tcPr>
          <w:p>
            <w:r/>
            <w:r>
              <w:t>Revisa acuerdos de tratamiento de datos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</w:t>
            </w:r>
          </w:p>
        </w:tc>
        <w:tc>
          <w:tcPr>
            <w:tcW w:type="dxa" w:w="4824"/>
          </w:tcPr>
          <w:p>
            <w:r/>
            <w:r>
              <w:t>Gestiona accesos y operación</w:t>
            </w:r>
          </w:p>
        </w:tc>
      </w:tr>
    </w:tbl>
    <w:p>
      <w:pPr>
        <w:pStyle w:val="Heading2"/>
      </w:pPr>
      <w:r>
        <w:rPr>
          <w:color w:val="1F3B63"/>
        </w:rPr>
        <w:t>6. Indicadores (KPIs)</w:t>
      </w:r>
    </w:p>
    <w:p>
      <w:pPr>
        <w:pStyle w:val="ListBullet"/>
      </w:pPr>
      <w:r>
        <w:t>% de proveedores evaluados antes de contratar (meta 100%).</w:t>
      </w:r>
    </w:p>
    <w:p>
      <w:pPr>
        <w:pStyle w:val="ListBullet"/>
      </w:pPr>
      <w:r>
        <w:t>% de contratos con cláusulas de seguridad completas (meta 100%).</w:t>
      </w:r>
    </w:p>
    <w:p>
      <w:pPr>
        <w:pStyle w:val="ListBullet"/>
      </w:pPr>
      <w:r>
        <w:t>% de proveedores con seguimiento vigente (meta 100%).</w:t>
      </w:r>
    </w:p>
    <w:p>
      <w:pPr>
        <w:pStyle w:val="ListBullet"/>
      </w:pPr>
      <w:r>
        <w:t>Nº de incidentes de proveedores gestionados.</w:t>
      </w:r>
    </w:p>
    <w:p>
      <w:pPr>
        <w:pStyle w:val="Heading2"/>
      </w:pPr>
      <w:r>
        <w:rPr>
          <w:color w:val="1F3B63"/>
        </w:rPr>
        <w:t>7. Registros que deja</w:t>
      </w:r>
    </w:p>
    <w:p>
      <w:pPr>
        <w:pStyle w:val="ListBullet"/>
      </w:pPr>
      <w:r>
        <w:t>Evaluaciones y contratos.</w:t>
      </w:r>
    </w:p>
    <w:p>
      <w:pPr>
        <w:pStyle w:val="ListBullet"/>
      </w:pPr>
      <w:r>
        <w:t>Registro de seguimiento.</w:t>
      </w:r>
    </w:p>
    <w:p>
      <w:pPr>
        <w:pStyle w:val="ListBullet"/>
      </w:pPr>
      <w:r>
        <w:t>Acreditaciones de retorno/destrucción.</w:t>
      </w:r>
    </w:p>
    <w:p>
      <w:pPr>
        <w:pStyle w:val="Heading2"/>
      </w:pPr>
      <w:r>
        <w:rPr>
          <w:color w:val="1F3B63"/>
        </w:rPr>
        <w:t>8. Referencias</w:t>
      </w:r>
    </w:p>
    <w:p>
      <w:r>
        <w:t>POL-11 · POL-19 · PRO-13 · PRO-08 · PRO-09 · PCS-04.</w:t>
      </w:r>
    </w:p>
    <w:p>
      <w:pPr>
        <w:pStyle w:val="Heading2"/>
      </w:pPr>
      <w:r>
        <w:rPr>
          <w:color w:val="1F3B63"/>
        </w:rPr>
        <w:t>9. Evidencia en el kit</w:t>
      </w:r>
    </w:p>
    <w:p>
      <w:r>
        <w:t>GV-05 (contratos y acuerdos) · GV-03 (registro de decisiones) · URCDP-05 (encargados de tratamiento).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