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PCS-08 · Proceso de Protección de Datos Personales</w:t>
      </w:r>
    </w:p>
    <w:p>
      <w:pPr>
        <w:ind w:left="432"/>
      </w:pPr>
      <w:r>
        <w:rPr>
          <w:i/>
          <w:color w:val="606060"/>
        </w:rPr>
        <w:t>**Función del MCU 5.0:** Cumplimiento normativo (CN) · Protección de datos personales (PD.1…PD.8)</w:t>
      </w:r>
    </w:p>
    <w:p>
      <w:pPr>
        <w:ind w:left="432"/>
      </w:pPr>
      <w:r>
        <w:rPr>
          <w:i/>
          <w:color w:val="606060"/>
        </w:rPr>
        <w:t>**ISO/IEC 27001:** A.5.34 (protección de datos personales) · A.5.35 (revisión independiente) · A.5.31-A.5.32 (requisitos legales)</w:t>
      </w:r>
    </w:p>
    <w:p>
      <w:pPr>
        <w:ind w:left="432"/>
      </w:pPr>
      <w:r>
        <w:rPr>
          <w:i/>
          <w:color w:val="606060"/>
        </w:rPr>
        <w:t>**BCU:** EMG — gobierno de la información y protección de los datos de clientes</w:t>
      </w:r>
    </w:p>
    <w:p>
      <w:pPr>
        <w:ind w:left="432"/>
      </w:pPr>
      <w:r>
        <w:rPr>
          <w:i/>
          <w:color w:val="606060"/>
        </w:rPr>
        <w:t>**URCDP:** Ley 18.331, Decreto 414/009, Decreto 64/020, Ley 19.670 — marco central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ind w:left="432"/>
      </w:pPr>
      <w:r>
        <w:rPr>
          <w:i/>
          <w:color w:val="606060"/>
        </w:rPr>
        <w:t>**Ejecuta:** POL-20 (y POL-17 para IA)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Garantizar que todo </w:t>
      </w:r>
      <w:r>
        <w:rPr>
          <w:b/>
        </w:rPr>
        <w:t>tratamiento de datos personales</w:t>
      </w:r>
      <w:r>
        <w:t xml:space="preserve"> cumpla los principios de la Ley 18.331 y los requisitos PD.1-PD.8 del MCU 5.0, protegiendo los derechos de los titulares. Aplica a clientes, empleados, proveedores, visitantes y terceros, en cualquier soporte y medio (incluida la IA).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Inventario de bases de datos y tratamientos (URCDP-01).</w:t>
      </w:r>
    </w:p>
    <w:p>
      <w:pPr>
        <w:pStyle w:val="ListBullet"/>
      </w:pPr>
      <w:r>
        <w:t>Solicitudes de derechos (ARCO) de los titulares.</w:t>
      </w:r>
    </w:p>
    <w:p>
      <w:pPr>
        <w:pStyle w:val="ListBullet"/>
      </w:pPr>
      <w:r>
        <w:t>Nuevas iniciativas que traten datos (proyectos, sistemas, IA, proveedores).</w:t>
      </w:r>
    </w:p>
    <w:p>
      <w:pPr>
        <w:pStyle w:val="ListBullet"/>
      </w:pPr>
      <w:r>
        <w:t>Incidentes que comprometan datos personales (PCS-03).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Registrar los tratamientos de datos.</w:t>
      </w:r>
    </w:p>
    <w:p>
      <w:pPr>
        <w:pStyle w:val="ListBullet"/>
      </w:pPr>
      <w:r>
        <w:rPr>
          <w:b/>
        </w:rPr>
        <w:t>Responsable:</w:t>
      </w:r>
      <w:r>
        <w:t xml:space="preserve"> DPD con dueños de bases.</w:t>
      </w:r>
    </w:p>
    <w:p>
      <w:pPr>
        <w:pStyle w:val="ListBullet"/>
      </w:pPr>
      <w:r>
        <w:rPr>
          <w:b/>
        </w:rPr>
        <w:t>Pasos:</w:t>
      </w:r>
      <w:r>
        <w:t xml:space="preserve"> (a) mantener el inventario de bases de datos y tratamientos, (b) verificar la base legal de cada tratamiento (consentimiento, ley, contrato), (c) inscribir ante la URCDP lo que corresponda.</w:t>
      </w:r>
    </w:p>
    <w:p>
      <w:pPr>
        <w:pStyle w:val="ListBullet"/>
      </w:pPr>
      <w:r>
        <w:rPr>
          <w:b/>
        </w:rPr>
        <w:t>Salida:</w:t>
      </w:r>
      <w:r>
        <w:t xml:space="preserve"> Inventario y registro URCDP actualizados.</w:t>
      </w:r>
    </w:p>
    <w:p>
      <w:pPr>
        <w:pStyle w:val="ListBullet"/>
      </w:pPr>
      <w:r>
        <w:rPr>
          <w:b/>
        </w:rPr>
        <w:t>Plazo:</w:t>
      </w:r>
      <w:r>
        <w:t xml:space="preserve"> Al crear cada tratamiento y revisión anual.</w:t>
      </w:r>
    </w:p>
    <w:p>
      <w:r>
        <w:rPr>
          <w:b/>
        </w:rPr>
        <w:t>3.2 — Verificar principios y minimización.</w:t>
      </w:r>
    </w:p>
    <w:p>
      <w:pPr>
        <w:pStyle w:val="ListBullet"/>
      </w:pPr>
      <w:r>
        <w:rPr>
          <w:b/>
        </w:rPr>
        <w:t>Responsable:</w:t>
      </w:r>
      <w:r>
        <w:t xml:space="preserve"> DPD con dueños de bases.</w:t>
      </w:r>
    </w:p>
    <w:p>
      <w:pPr>
        <w:pStyle w:val="ListBullet"/>
      </w:pPr>
      <w:r>
        <w:rPr>
          <w:b/>
        </w:rPr>
        <w:t>Pasos:</w:t>
      </w:r>
      <w:r>
        <w:t xml:space="preserve"> (a) revisar finalidad, exactitud y necesidad de cada dato recogido, (b) aplicar minimización y anonimización en pruebas/IA (POL-17), (c) corregir desvíos.</w:t>
      </w:r>
    </w:p>
    <w:p>
      <w:pPr>
        <w:pStyle w:val="ListBullet"/>
      </w:pPr>
      <w:r>
        <w:rPr>
          <w:b/>
        </w:rPr>
        <w:t>Salida:</w:t>
      </w:r>
      <w:r>
        <w:t xml:space="preserve"> Tratamientos alineados a los principios.</w:t>
      </w:r>
    </w:p>
    <w:p>
      <w:pPr>
        <w:pStyle w:val="ListBullet"/>
      </w:pPr>
      <w:r>
        <w:rPr>
          <w:b/>
        </w:rPr>
        <w:t>Plazo:</w:t>
      </w:r>
      <w:r>
        <w:t xml:space="preserve"> En la revisión anual y en cada nuevo tratamiento.</w:t>
      </w:r>
    </w:p>
    <w:p>
      <w:r>
        <w:rPr>
          <w:b/>
        </w:rPr>
        <w:t>3.3 — Gestionar el consentimiento.</w:t>
      </w:r>
    </w:p>
    <w:p>
      <w:pPr>
        <w:pStyle w:val="ListBullet"/>
      </w:pPr>
      <w:r>
        <w:rPr>
          <w:b/>
        </w:rPr>
        <w:t>Responsable:</w:t>
      </w:r>
      <w:r>
        <w:t xml:space="preserve"> DPD + áreas de negocio.</w:t>
      </w:r>
    </w:p>
    <w:p>
      <w:pPr>
        <w:pStyle w:val="ListBullet"/>
      </w:pPr>
      <w:r>
        <w:rPr>
          <w:b/>
        </w:rPr>
        <w:t>Pasos:</w:t>
      </w:r>
      <w:r>
        <w:t xml:space="preserve"> (a) recoger el consentimiento previo, expreso e informado, (b) documentar y permitir la revocación, (c) aplicar las restricciones para datos sensibles (Decreto 414/009).</w:t>
      </w:r>
    </w:p>
    <w:p>
      <w:pPr>
        <w:pStyle w:val="ListBullet"/>
      </w:pPr>
      <w:r>
        <w:rPr>
          <w:b/>
        </w:rPr>
        <w:t>Salida:</w:t>
      </w:r>
      <w:r>
        <w:t xml:space="preserve"> Registro de consentimientos y revocaciones.</w:t>
      </w:r>
    </w:p>
    <w:p>
      <w:pPr>
        <w:pStyle w:val="ListBullet"/>
      </w:pPr>
      <w:r>
        <w:rPr>
          <w:b/>
        </w:rPr>
        <w:t>Plazo:</w:t>
      </w:r>
      <w:r>
        <w:t xml:space="preserve"> Al captar datos y al recibir revocaciones.</w:t>
      </w:r>
    </w:p>
    <w:p>
      <w:r>
        <w:rPr>
          <w:b/>
        </w:rPr>
        <w:t>3.4 — Atender los derechos de los titulares (ARCO).</w:t>
      </w:r>
    </w:p>
    <w:p>
      <w:pPr>
        <w:pStyle w:val="ListBullet"/>
      </w:pPr>
      <w:r>
        <w:rPr>
          <w:b/>
        </w:rPr>
        <w:t>Responsable:</w:t>
      </w:r>
      <w:r>
        <w:t xml:space="preserve"> DPD (oficina de atención al titular).</w:t>
      </w:r>
    </w:p>
    <w:p>
      <w:pPr>
        <w:pStyle w:val="ListBullet"/>
      </w:pPr>
      <w:r>
        <w:rPr>
          <w:b/>
        </w:rPr>
        <w:t>Pasos:</w:t>
      </w:r>
      <w:r>
        <w:t xml:space="preserve"> (a) recibir y registrar la solicitud, (b) verificar la identidad, (c) responder dentro del plazo legal (acceso, rectificación, inclusión, supresión, impugnación), (d) registrar la respuesta.</w:t>
      </w:r>
    </w:p>
    <w:p>
      <w:pPr>
        <w:pStyle w:val="ListBullet"/>
      </w:pPr>
      <w:r>
        <w:rPr>
          <w:b/>
        </w:rPr>
        <w:t>Salida:</w:t>
      </w:r>
      <w:r>
        <w:t xml:space="preserve"> Respuesta al titular dentro del plazo.</w:t>
      </w:r>
    </w:p>
    <w:p>
      <w:pPr>
        <w:pStyle w:val="ListBullet"/>
      </w:pPr>
      <w:r>
        <w:rPr>
          <w:b/>
        </w:rPr>
        <w:t>Plazo:</w:t>
      </w:r>
      <w:r>
        <w:t xml:space="preserve"> Plazos legales (Decreto 414/009); registro de cada solicitud.</w:t>
      </w:r>
    </w:p>
    <w:p>
      <w:r>
        <w:rPr>
          <w:b/>
        </w:rPr>
        <w:t>3.5 — Evaluar el impacto (EIPD).</w:t>
      </w:r>
    </w:p>
    <w:p>
      <w:pPr>
        <w:pStyle w:val="ListBullet"/>
      </w:pPr>
      <w:r>
        <w:rPr>
          <w:b/>
        </w:rPr>
        <w:t>Responsable:</w:t>
      </w:r>
      <w:r>
        <w:t xml:space="preserve"> DPD con RSI.</w:t>
      </w:r>
    </w:p>
    <w:p>
      <w:pPr>
        <w:pStyle w:val="ListBullet"/>
      </w:pPr>
      <w:r>
        <w:rPr>
          <w:b/>
        </w:rPr>
        <w:t>Pasos:</w:t>
      </w:r>
      <w:r>
        <w:t xml:space="preserve"> (a) identificar tratamientos de alto riesgo (masivos, sensibles, IA, transferencias), (b) realizar la EIPD antes del inicio (Ley 19.670), (c) definir medidas y aprobar.</w:t>
      </w:r>
    </w:p>
    <w:p>
      <w:pPr>
        <w:pStyle w:val="ListBullet"/>
      </w:pPr>
      <w:r>
        <w:rPr>
          <w:b/>
        </w:rPr>
        <w:t>Salida:</w:t>
      </w:r>
      <w:r>
        <w:t xml:space="preserve"> EIPD documentada y aprobada (URCDP-04).</w:t>
      </w:r>
    </w:p>
    <w:p>
      <w:pPr>
        <w:pStyle w:val="ListBullet"/>
      </w:pPr>
      <w:r>
        <w:rPr>
          <w:b/>
        </w:rPr>
        <w:t>Plazo:</w:t>
      </w:r>
      <w:r>
        <w:t xml:space="preserve"> Antes de iniciar tratamientos de alto riesgo.</w:t>
      </w:r>
    </w:p>
    <w:p>
      <w:r>
        <w:rPr>
          <w:b/>
        </w:rPr>
        <w:t>3.6 — Gestionar incidentes y notificaciones.</w:t>
      </w:r>
    </w:p>
    <w:p>
      <w:pPr>
        <w:pStyle w:val="ListBullet"/>
      </w:pPr>
      <w:r>
        <w:rPr>
          <w:b/>
        </w:rPr>
        <w:t>Responsable:</w:t>
      </w:r>
      <w:r>
        <w:t xml:space="preserve"> DPD con RSI.</w:t>
      </w:r>
    </w:p>
    <w:p>
      <w:pPr>
        <w:pStyle w:val="ListBullet"/>
      </w:pPr>
      <w:r>
        <w:rPr>
          <w:b/>
        </w:rPr>
        <w:t>Pasos:</w:t>
      </w:r>
      <w:r>
        <w:t xml:space="preserve"> (a) participar en la evaluación del incidente (PCS-03), (b) decidir y ejecutar la notificación a la URCDP en 72 h (PRO-05), (c) comunicar a los titulares si hay alto riesgo, (d) registrar.</w:t>
      </w:r>
    </w:p>
    <w:p>
      <w:pPr>
        <w:pStyle w:val="ListBullet"/>
      </w:pPr>
      <w:r>
        <w:rPr>
          <w:b/>
        </w:rPr>
        <w:t>Salida:</w:t>
      </w:r>
      <w:r>
        <w:t xml:space="preserve"> Notificaciones emitidas y registradas.</w:t>
      </w:r>
    </w:p>
    <w:p>
      <w:pPr>
        <w:pStyle w:val="ListBullet"/>
      </w:pPr>
      <w:r>
        <w:rPr>
          <w:b/>
        </w:rPr>
        <w:t>Plazo:</w:t>
      </w:r>
      <w:r>
        <w:t xml:space="preserve"> 72 h desde el conocimiento.</w:t>
      </w:r>
    </w:p>
    <w:p>
      <w:r>
        <w:rPr>
          <w:b/>
        </w:rPr>
        <w:t>3.7 — Supervisar proveedores y transferencias.</w:t>
      </w:r>
    </w:p>
    <w:p>
      <w:pPr>
        <w:pStyle w:val="ListBullet"/>
      </w:pPr>
      <w:r>
        <w:rPr>
          <w:b/>
        </w:rPr>
        <w:t>Responsable:</w:t>
      </w:r>
      <w:r>
        <w:t xml:space="preserve"> DPD.</w:t>
      </w:r>
    </w:p>
    <w:p>
      <w:pPr>
        <w:pStyle w:val="ListBullet"/>
      </w:pPr>
      <w:r>
        <w:rPr>
          <w:b/>
        </w:rPr>
        <w:t>Pasos:</w:t>
      </w:r>
      <w:r>
        <w:t xml:space="preserve"> (a) revisar acuerdos de encargado de tratamiento (PCS-07), (b) verificar las transferencias internacionales (POL-19), (c) exigir garantías.</w:t>
      </w:r>
    </w:p>
    <w:p>
      <w:pPr>
        <w:pStyle w:val="ListBullet"/>
      </w:pPr>
      <w:r>
        <w:rPr>
          <w:b/>
        </w:rPr>
        <w:t>Salida:</w:t>
      </w:r>
      <w:r>
        <w:t xml:space="preserve"> Acuerdos y transferencias revisados.</w:t>
      </w:r>
    </w:p>
    <w:p>
      <w:pPr>
        <w:pStyle w:val="ListBullet"/>
      </w:pPr>
      <w:r>
        <w:rPr>
          <w:b/>
        </w:rPr>
        <w:t>Plazo:</w:t>
      </w:r>
      <w:r>
        <w:t xml:space="preserve"> En cada contratación y revisión anual.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Inventario de tratamientos y registro URCDP.</w:t>
      </w:r>
    </w:p>
    <w:p>
      <w:pPr>
        <w:pStyle w:val="ListBullet"/>
      </w:pPr>
      <w:r>
        <w:t>Registro de consentimientos y respuestas ARCO.</w:t>
      </w:r>
    </w:p>
    <w:p>
      <w:pPr>
        <w:pStyle w:val="ListBullet"/>
      </w:pPr>
      <w:r>
        <w:t>EIPD realizadas.</w:t>
      </w:r>
    </w:p>
    <w:p>
      <w:pPr>
        <w:pStyle w:val="ListBullet"/>
      </w:pPr>
      <w:r>
        <w:t>Notificaciones de vulneraciones registradas.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4824"/>
          </w:tcPr>
          <w:p>
            <w:r/>
            <w:r>
              <w:t>Coordina el proceso, interlocutor con URCDP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Implementa los controles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bases</w:t>
            </w:r>
          </w:p>
        </w:tc>
        <w:tc>
          <w:tcPr>
            <w:tcW w:type="dxa" w:w="4824"/>
          </w:tcPr>
          <w:p>
            <w:r/>
            <w:r>
              <w:t>Mantienen la calidad y finalidad de sus datos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Áreas de negocio</w:t>
            </w:r>
          </w:p>
        </w:tc>
        <w:tc>
          <w:tcPr>
            <w:tcW w:type="dxa" w:w="4824"/>
          </w:tcPr>
          <w:p>
            <w:r/>
            <w:r>
              <w:t>Captan consentimiento y atienden titulares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Datos</w:t>
            </w:r>
          </w:p>
        </w:tc>
        <w:tc>
          <w:tcPr>
            <w:tcW w:type="dxa" w:w="4824"/>
          </w:tcPr>
          <w:p>
            <w:r/>
            <w:r>
              <w:t>Supervisa el programa de privacidad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tratamientos con base legal verificada (meta 100%).</w:t>
      </w:r>
    </w:p>
    <w:p>
      <w:pPr>
        <w:pStyle w:val="ListBullet"/>
      </w:pPr>
      <w:r>
        <w:t>% de solicitudes ARCO respondidas dentro del plazo (meta 100%).</w:t>
      </w:r>
    </w:p>
    <w:p>
      <w:pPr>
        <w:pStyle w:val="ListBullet"/>
      </w:pPr>
      <w:r>
        <w:t>% de EIPD obligatorias realizadas antes del inicio (meta 100%).</w:t>
      </w:r>
    </w:p>
    <w:p>
      <w:pPr>
        <w:pStyle w:val="ListBullet"/>
      </w:pPr>
      <w:r>
        <w:t>Nº de notificaciones a la URCDP y su plazo de cumplimiento.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Inventario de tratamientos y registro URCDP.</w:t>
      </w:r>
    </w:p>
    <w:p>
      <w:pPr>
        <w:pStyle w:val="ListBullet"/>
      </w:pPr>
      <w:r>
        <w:t>Solicitudes ARCO y respuestas.</w:t>
      </w:r>
    </w:p>
    <w:p>
      <w:pPr>
        <w:pStyle w:val="ListBullet"/>
      </w:pPr>
      <w:r>
        <w:t>EIPD y notificaciones.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POL-20 · POL-17 · PRO-05 · PRO-09 · PCS-03 · PCS-07.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URCDP-01 (inventario) · URCDP-02 (registro) · URCDP-03 (notificaciones) · URCDP-04 (EIPD) · URCDP-05 (encargados).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