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VPOL-06 · Acceptable Use (Company Systems) Policy</w:t>
      </w:r>
    </w:p>
    <w:p>
      <w:pPr>
        <w:ind w:left="432"/>
      </w:pPr>
      <w:r>
        <w:rPr>
          <w:i/>
          <w:color w:val="606060"/>
        </w:rPr>
        <w:t>**Función del MCU 5.0:** Gobernar (GV.OR — marco normativo) · Proteger (PR.AC — accesos)</w:t>
      </w:r>
    </w:p>
    <w:p>
      <w:pPr>
        <w:ind w:left="432"/>
      </w:pPr>
      <w:r>
        <w:rPr>
          <w:i/>
          <w:color w:val="606060"/>
        </w:rPr>
        <w:t>**ISO/IEC 27001:** A.5.9 (inventario de activos) · A.5.10 (uso aceptable) · A.8.1 (dispositivos terminales)</w:t>
      </w:r>
    </w:p>
    <w:p>
      <w:pPr>
        <w:ind w:left="432"/>
      </w:pPr>
      <w:r>
        <w:rPr>
          <w:i/>
          <w:color w:val="606060"/>
        </w:rPr>
        <w:t>**BCU:** EMG — gobierno de la seguridad; responsabilidad del personal en el uso de activos</w:t>
      </w:r>
    </w:p>
    <w:p>
      <w:pPr>
        <w:ind w:left="432"/>
      </w:pPr>
      <w:r>
        <w:rPr>
          <w:i/>
          <w:color w:val="606060"/>
        </w:rPr>
        <w:t>**URCDP:** Ley 18.331 arts. 9 y 10 (finalidad y medidas de seguridad)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VPOL-06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Acceptable Use (Company Systems)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Definir el </w:t>
      </w:r>
      <w:r>
        <w:rPr>
          <w:b/>
        </w:rPr>
        <w:t>uso aceptable de los sistemas, redes y activos informáticos del Banco Ficticio del Uruguay</w:t>
      </w:r>
      <w:r>
        <w:t>, protegiendo la información, la imagen y la continuidad operativa sin perder la productividad del personal.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</w:t>
      </w:r>
      <w:r>
        <w:rPr>
          <w:b/>
        </w:rPr>
        <w:t>todo el personal del Banco (titular, subcontratado, temporario), consultores, practicantes y terceros</w:t>
      </w:r>
      <w:r>
        <w:t xml:space="preserve"> que utilicen activos del Banco o accedan a sus sistemas con cualquier dispositivo. Incluye estaciones, notebooks, celulares corporativos, correo, internet, aplicaciones, y el acceso remoto desde equipos personales (BYOD cuando aplique).</w:t>
      </w:r>
    </w:p>
    <w:p>
      <w:pPr>
        <w:pStyle w:val="Heading3"/>
      </w:pPr>
      <w:r>
        <w:rPr>
          <w:color w:val="1F3B63"/>
        </w:rPr>
        <w:t>3. Roles y responsabilidades</w:t>
      </w:r>
    </w:p>
    <w:p>
      <w:pPr>
        <w:pStyle w:val="ListBullet"/>
      </w:pPr>
      <w:r>
        <w:rPr>
          <w:b/>
        </w:rPr>
        <w:t>RSI:</w:t>
      </w:r>
      <w:r>
        <w:t xml:space="preserve"> interpreta la política y resuelve dudas de aplicación.</w:t>
      </w:r>
    </w:p>
    <w:p>
      <w:pPr>
        <w:pStyle w:val="ListBullet"/>
      </w:pPr>
      <w:r>
        <w:rPr>
          <w:b/>
        </w:rPr>
        <w:t>RRHH + Jefes de área:</w:t>
      </w:r>
      <w:r>
        <w:t xml:space="preserve"> difunden la política y gestionan las consecuencias disciplinarias.</w:t>
      </w:r>
    </w:p>
    <w:p>
      <w:pPr>
        <w:pStyle w:val="ListBullet"/>
      </w:pPr>
      <w:r>
        <w:rPr>
          <w:b/>
        </w:rPr>
        <w:t>Div. TI:</w:t>
      </w:r>
      <w:r>
        <w:t xml:space="preserve"> implementa los controles técnicos (filtros, listas, monitoreo).</w:t>
      </w:r>
    </w:p>
    <w:p>
      <w:pPr>
        <w:pStyle w:val="ListBullet"/>
      </w:pPr>
      <w:r>
        <w:rPr>
          <w:b/>
        </w:rPr>
        <w:t>Todo usuario:</w:t>
      </w:r>
      <w:r>
        <w:t xml:space="preserve"> lee, acepta y cumple esta política (acuse al momento del alta).</w:t>
      </w:r>
    </w:p>
    <w:p>
      <w:pPr>
        <w:pStyle w:val="Heading3"/>
      </w:pPr>
      <w:r>
        <w:rPr>
          <w:color w:val="1F3B63"/>
        </w:rPr>
        <w:t>4. Reglas de uso aceptable</w:t>
      </w:r>
    </w:p>
    <w:p>
      <w:pPr>
        <w:pStyle w:val="ListBullet"/>
      </w:pPr>
      <w:r>
        <w:rPr>
          <w:b/>
        </w:rPr>
        <w:t>Aceptable:</w:t>
      </w:r>
      <w:r>
        <w:t xml:space="preserve"> actividades laborales propias del cargo; uso razonable y ocasional de internet/correo personal; herramientas aprobadas por la Div. TI.</w:t>
      </w:r>
    </w:p>
    <w:p>
      <w:pPr>
        <w:pStyle w:val="ListBullet"/>
      </w:pPr>
      <w:r>
        <w:rPr>
          <w:b/>
        </w:rPr>
        <w:t>Prohibido:</w:t>
      </w:r>
    </w:p>
    <w:p>
      <w:pPr>
        <w:pStyle w:val="ListBullet"/>
      </w:pPr>
      <w:r>
        <w:t>Uso de los sistemas para actividades ilegales, juegos de azar, contenido ofensivo o violencia.</w:t>
      </w:r>
    </w:p>
    <w:p>
      <w:pPr>
        <w:pStyle w:val="ListBullet"/>
      </w:pPr>
      <w:r>
        <w:t xml:space="preserve">Descarga o instalación de software no autorizado (incluye </w:t>
      </w:r>
      <w:r>
        <w:rPr>
          <w:b/>
        </w:rPr>
        <w:t>software pirata y herramientas de hacking</w:t>
      </w:r>
      <w:r>
        <w:t>).</w:t>
      </w:r>
    </w:p>
    <w:p>
      <w:pPr>
        <w:pStyle w:val="ListBullet"/>
      </w:pPr>
      <w:r>
        <w:t>Uso de cuentas de otro usuario, o compartir credenciales.</w:t>
      </w:r>
    </w:p>
    <w:p>
      <w:pPr>
        <w:pStyle w:val="ListBullet"/>
      </w:pPr>
      <w:r>
        <w:t>Exposición deliberada de información confidencial a terceros.</w:t>
      </w:r>
    </w:p>
    <w:p>
      <w:pPr>
        <w:pStyle w:val="ListBullet"/>
      </w:pPr>
      <w:r>
        <w:t>Almacenamiento de datos del Banco en servicios personales no autorizados (carpetas personales de cloud público).</w:t>
      </w:r>
    </w:p>
    <w:p>
      <w:pPr>
        <w:pStyle w:val="ListBullet"/>
      </w:pPr>
      <w:r>
        <w:t>Accesos no autorizados, saltar controles de seguridad o deshabilitar protección (antivirus, firewall, cifrado).</w:t>
      </w:r>
    </w:p>
    <w:p>
      <w:pPr>
        <w:pStyle w:val="Heading3"/>
      </w:pPr>
      <w:r>
        <w:rPr>
          <w:color w:val="1F3B63"/>
        </w:rPr>
        <w:t>5. Dispositivos y acceso remoto</w:t>
      </w:r>
    </w:p>
    <w:p>
      <w:pPr>
        <w:pStyle w:val="ListBullet"/>
      </w:pPr>
      <w:r>
        <w:t xml:space="preserve">Los dispositivos corporativos son propiedad del Banco y están sujetos a </w:t>
      </w:r>
      <w:r>
        <w:rPr>
          <w:b/>
        </w:rPr>
        <w:t>monitoreo y control remoto</w:t>
      </w:r>
      <w:r>
        <w:t xml:space="preserve"> por la Div. TI.</w:t>
      </w:r>
    </w:p>
    <w:p>
      <w:pPr>
        <w:pStyle w:val="ListBullet"/>
      </w:pPr>
      <w:r>
        <w:t xml:space="preserve">El acceso remoto debe hacerse con </w:t>
      </w:r>
      <w:r>
        <w:rPr>
          <w:b/>
        </w:rPr>
        <w:t>VPN autorizada y MFA</w:t>
      </w:r>
      <w:r>
        <w:t>; prohibido usar redes Wi-Fi públicas sin VPN.</w:t>
      </w:r>
    </w:p>
    <w:p>
      <w:pPr>
        <w:pStyle w:val="ListBullet"/>
      </w:pPr>
      <w:r>
        <w:t>La información del Banco debe tratarse en el dispositivo corporativo; el BYOD se rige por la política de acceso remoto de PR-01/PR-03.</w:t>
      </w:r>
    </w:p>
    <w:p>
      <w:pPr>
        <w:pStyle w:val="Heading3"/>
      </w:pPr>
      <w:r>
        <w:rPr>
          <w:color w:val="1F3B63"/>
        </w:rPr>
        <w:t>6. Privacidad y monitoreo</w:t>
      </w:r>
    </w:p>
    <w:p>
      <w:pPr>
        <w:pStyle w:val="ListBullet"/>
      </w:pPr>
      <w:r>
        <w:t xml:space="preserve">El Banco puede auditar el uso de sus sistemas (correo, navegación, archivos) para proteger la información y detectar usos indebidos, respetando la </w:t>
      </w:r>
      <w:r>
        <w:rPr>
          <w:b/>
        </w:rPr>
        <w:t>Ley 18.331</w:t>
      </w:r>
      <w:r>
        <w:t xml:space="preserve"> en cuanto a datos personales de los empleados.</w:t>
      </w:r>
    </w:p>
    <w:p>
      <w:pPr>
        <w:pStyle w:val="ListBullet"/>
      </w:pPr>
      <w:r>
        <w:t>El correo corporativo se usa para asuntos laborales; los envíos a direcciones externas pueden estar sujetos a filtrado (DLP, ver VPOL-19/PR-03).</w:t>
      </w:r>
    </w:p>
    <w:p>
      <w:pPr>
        <w:pStyle w:val="Heading3"/>
      </w:pPr>
      <w:r>
        <w:rPr>
          <w:color w:val="1F3B63"/>
        </w:rPr>
        <w:t>7. Cumplimiento</w:t>
      </w:r>
    </w:p>
    <w:p>
      <w:r>
        <w:t xml:space="preserve">El incumplimiento puede generar </w:t>
      </w:r>
      <w:r>
        <w:rPr>
          <w:b/>
        </w:rPr>
        <w:t>medidas disciplinarias, suspensión de accesos y, cuando corresponda, denuncia penal</w:t>
      </w:r>
      <w:r>
        <w:t xml:space="preserve"> (art. 7 de la Ley 19.223 — delitos informáticos). Todo hallazgo se investiga por RRHH con apoyo del RSI.</w:t>
      </w:r>
    </w:p>
    <w:p>
      <w:pPr>
        <w:pStyle w:val="Heading3"/>
      </w:pPr>
      <w:r>
        <w:rPr>
          <w:color w:val="1F3B63"/>
        </w:rPr>
        <w:t>8. Excepciones y revisión</w:t>
      </w:r>
    </w:p>
    <w:p>
      <w:pPr>
        <w:pStyle w:val="ListBullet"/>
      </w:pPr>
      <w:r>
        <w:t xml:space="preserve">Las excepciones las autoriza el </w:t>
      </w:r>
      <w:r>
        <w:rPr>
          <w:b/>
        </w:rPr>
        <w:t>RSI</w:t>
      </w:r>
      <w:r>
        <w:t xml:space="preserve"> por escrito y por tiempo limitado.</w:t>
      </w:r>
    </w:p>
    <w:p>
      <w:pPr>
        <w:pStyle w:val="ListBullet"/>
      </w:pPr>
      <w:r>
        <w:t xml:space="preserve">Esta política se revisa </w:t>
      </w:r>
      <w:r>
        <w:rPr>
          <w:b/>
        </w:rPr>
        <w:t>anualmente</w:t>
      </w:r>
      <w:r>
        <w:t xml:space="preserve"> o ante cambios normativos o de negocio.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Política de seguridad aprobada</w:t>
            </w:r>
          </w:p>
        </w:tc>
        <w:tc>
          <w:tcPr>
            <w:tcW w:type="dxa" w:w="4824"/>
          </w:tcPr>
          <w:p>
            <w:r/>
            <w:r>
              <w:t>GV-01</w:t>
            </w:r>
          </w:p>
        </w:tc>
      </w:tr>
      <w:tr>
        <w:tc>
          <w:tcPr>
            <w:tcW w:type="dxa" w:w="4824"/>
          </w:tcPr>
          <w:p>
            <w:r/>
            <w:r>
              <w:t>Proceso de alta/baja de usuarios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Acuse de lectura del personal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