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VPOL-07 · Artificial Intelligence (AI) Acceptable Use Policy</w:t>
      </w:r>
    </w:p>
    <w:p>
      <w:pPr>
        <w:ind w:left="432"/>
      </w:pPr>
      <w:r>
        <w:rPr>
          <w:i/>
          <w:color w:val="606060"/>
        </w:rPr>
        <w:t>**Función del MCU 5.0:** Gobernar (GV.OR — políticas; GV.RM — gestión de riesgos) · Proteger (PR.AC, PR.DS — datos)</w:t>
      </w:r>
    </w:p>
    <w:p>
      <w:pPr>
        <w:ind w:left="432"/>
      </w:pPr>
      <w:r>
        <w:rPr>
          <w:i/>
          <w:color w:val="606060"/>
        </w:rPr>
        <w:t>**ISO/IEC 27001:** A.5.9 (activos) · A.8.2 (clasificación) · A.8.11 (ocultamiento de datos) · A.8.12 (prevención de fuga)</w:t>
      </w:r>
    </w:p>
    <w:p>
      <w:pPr>
        <w:ind w:left="432"/>
      </w:pPr>
      <w:r>
        <w:rPr>
          <w:i/>
          <w:color w:val="606060"/>
        </w:rPr>
        <w:t>**BCU:** EMG — gobierno y control de la información; gestión de riesgos de nuevos canales/tecnologías</w:t>
      </w:r>
    </w:p>
    <w:p>
      <w:pPr>
        <w:ind w:left="432"/>
      </w:pPr>
      <w:r>
        <w:rPr>
          <w:i/>
          <w:color w:val="606060"/>
        </w:rPr>
        <w:t>**URCDP:** Ley 18.331 — principios de finalidad, minimización, consentimiento y derecho de acceso/oposición en tratamientos automatizados</w:t>
      </w:r>
    </w:p>
    <w:p>
      <w:pPr>
        <w:ind w:left="432"/>
      </w:pPr>
      <w:r>
        <w:rPr>
          <w:i/>
          <w:color w:val="606060"/>
        </w:rPr>
        <w:t>**Nivel del curso:** 🟡 Practicar → 🟠 Avanzar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VPOL-07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Artificial Intelligence (AI) Acceptable Use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DPD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Comité de Datos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6 meses, dado el ritmo del cambio]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Establecer las reglas para el </w:t>
      </w:r>
      <w:r>
        <w:rPr>
          <w:b/>
        </w:rPr>
        <w:t>uso de herramientas de Inteligencia Artificial (IA) generativa y asistentes de IA</w:t>
      </w:r>
      <w:r>
        <w:t xml:space="preserve"> en el Banco, maximizando la productividad y </w:t>
      </w:r>
      <w:r>
        <w:rPr>
          <w:b/>
        </w:rPr>
        <w:t>evitando la fuga de información</w:t>
      </w:r>
      <w:r>
        <w:t>, los sesgos, las respuestas alucinadas y el incumplimiento normativo.</w:t>
      </w:r>
    </w:p>
    <w:p>
      <w:pPr>
        <w:pStyle w:val="Heading3"/>
      </w:pPr>
      <w:r>
        <w:rPr>
          <w:color w:val="1F3B63"/>
        </w:rPr>
        <w:t>2. Alcance</w:t>
      </w:r>
    </w:p>
    <w:p>
      <w:r>
        <w:t xml:space="preserve">Aplica a todo el personal que use IA en el marco laboral: asistentes de código (ej. herramientas de IA para desarrollo), chatbots, generadores de texto/imagen, herramientas de análisis, </w:t>
      </w:r>
      <w:r>
        <w:rPr>
          <w:b/>
        </w:rPr>
        <w:t>incluidas las usadas en proyectos del SGSI (ej. agentes de IA para el curso)</w:t>
      </w:r>
      <w:r>
        <w:t>. Incluye IA alojada en la nube (SaaS) y modelos desplegados en infraestructura del Banco.</w:t>
      </w:r>
    </w:p>
    <w:p>
      <w:pPr>
        <w:pStyle w:val="Heading3"/>
      </w:pPr>
      <w:r>
        <w:rPr>
          <w:color w:val="1F3B63"/>
        </w:rPr>
        <w:t>3. Clasificación del uso según el riesgo de la información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Nivel de datos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¿Se permite ingresar en IA externa?</w:t>
            </w:r>
          </w:p>
        </w:tc>
      </w:tr>
      <w:tr>
        <w:tc>
          <w:tcPr>
            <w:tcW w:type="dxa" w:w="4824"/>
          </w:tcPr>
          <w:p>
            <w:r/>
            <w:r>
              <w:t>Público</w:t>
            </w:r>
          </w:p>
        </w:tc>
        <w:tc>
          <w:tcPr>
            <w:tcW w:type="dxa" w:w="4824"/>
          </w:tcPr>
          <w:p>
            <w:r/>
            <w:r>
              <w:t>Sí, con normalidad</w:t>
            </w:r>
          </w:p>
        </w:tc>
      </w:tr>
      <w:tr>
        <w:tc>
          <w:tcPr>
            <w:tcW w:type="dxa" w:w="4824"/>
          </w:tcPr>
          <w:p>
            <w:r/>
            <w:r>
              <w:t>Uso interno</w:t>
            </w:r>
          </w:p>
        </w:tc>
        <w:tc>
          <w:tcPr>
            <w:tcW w:type="dxa" w:w="4824"/>
          </w:tcPr>
          <w:p>
            <w:r/>
            <w:r>
              <w:t xml:space="preserve">Solo con herramientas </w:t>
            </w:r>
            <w:r>
              <w:rPr>
                <w:b/>
              </w:rPr>
              <w:t>aprobadas</w:t>
            </w:r>
            <w:r>
              <w:t xml:space="preserve"> por la Div. TI</w:t>
            </w:r>
          </w:p>
        </w:tc>
      </w:tr>
      <w:tr>
        <w:tc>
          <w:tcPr>
            <w:tcW w:type="dxa" w:w="4824"/>
          </w:tcPr>
          <w:p>
            <w:r/>
            <w:r>
              <w:t>Confidencial (clientes, datos personales, estratégicos)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  <w:r>
              <w:t xml:space="preserve"> salvo autorización expresa del RSI con herramienta aprobada</w:t>
            </w:r>
          </w:p>
        </w:tc>
      </w:tr>
      <w:tr>
        <w:tc>
          <w:tcPr>
            <w:tcW w:type="dxa" w:w="4824"/>
          </w:tcPr>
          <w:p>
            <w:r/>
            <w:r>
              <w:t>Muy confidencial (credenciales, claves, datos biométricos)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Prohibido siempre</w:t>
            </w:r>
            <w:r>
              <w:t xml:space="preserve"> en herramientas externas</w:t>
            </w:r>
          </w:p>
        </w:tc>
      </w:tr>
    </w:tbl>
    <w:p>
      <w:pPr>
        <w:pStyle w:val="Heading3"/>
      </w:pPr>
      <w:r>
        <w:rPr>
          <w:color w:val="1F3B63"/>
        </w:rPr>
        <w:t>4. Reglas obligatorias</w:t>
      </w:r>
    </w:p>
    <w:p>
      <w:pPr>
        <w:pStyle w:val="ListBullet"/>
      </w:pPr>
      <w:r>
        <w:rPr>
          <w:b/>
        </w:rPr>
        <w:t>No ingresar</w:t>
      </w:r>
      <w:r>
        <w:t xml:space="preserve"> datos personales de clientes, información bancaria de personas, claves, tokens o secretos en herramientas de IA externas.</w:t>
      </w:r>
    </w:p>
    <w:p>
      <w:pPr>
        <w:pStyle w:val="ListBullet"/>
      </w:pPr>
      <w:r>
        <w:t xml:space="preserve">Usar </w:t>
      </w:r>
      <w:r>
        <w:rPr>
          <w:b/>
        </w:rPr>
        <w:t>solo herramientas autorizadas</w:t>
      </w:r>
      <w:r>
        <w:t xml:space="preserve"> por la Div. TI; está prohibido registrarse con cuentas personales en herramientas de trabajo.</w:t>
      </w:r>
    </w:p>
    <w:p>
      <w:pPr>
        <w:pStyle w:val="ListBullet"/>
      </w:pPr>
      <w:r>
        <w:t xml:space="preserve">Todo resultado de IA se </w:t>
      </w:r>
      <w:r>
        <w:rPr>
          <w:b/>
        </w:rPr>
        <w:t>revisa manualmente</w:t>
      </w:r>
      <w:r>
        <w:t>: puede ser incorrecto o alucinado.</w:t>
      </w:r>
    </w:p>
    <w:p>
      <w:pPr>
        <w:pStyle w:val="ListBullet"/>
      </w:pPr>
      <w:r>
        <w:t xml:space="preserve">El código generado por IA debe pasar el </w:t>
      </w:r>
      <w:r>
        <w:rPr>
          <w:b/>
        </w:rPr>
        <w:t>proceso de revisión y escaneo de seguridad</w:t>
      </w:r>
      <w:r>
        <w:t xml:space="preserve"> (SDLC, PR-07).</w:t>
      </w:r>
    </w:p>
    <w:p>
      <w:pPr>
        <w:pStyle w:val="ListBullet"/>
      </w:pPr>
      <w:r>
        <w:t xml:space="preserve">Las decisiones que afecten derechos de personas </w:t>
      </w:r>
      <w:r>
        <w:rPr>
          <w:b/>
        </w:rPr>
        <w:t>no se pueden delegar en IA</w:t>
      </w:r>
      <w:r>
        <w:t xml:space="preserve"> sin control humano (principio de supervisión, en línea con la regulación emergente de IA y la Ley 18.331).</w:t>
      </w:r>
    </w:p>
    <w:p>
      <w:pPr>
        <w:pStyle w:val="ListBullet"/>
      </w:pPr>
      <w:r>
        <w:rPr>
          <w:b/>
        </w:rPr>
        <w:t>Declarar el uso de IA</w:t>
      </w:r>
      <w:r>
        <w:t xml:space="preserve"> en informes, productos y entregables cuando sea materialmente relevante.</w:t>
      </w:r>
    </w:p>
    <w:p>
      <w:pPr>
        <w:pStyle w:val="Heading3"/>
      </w:pPr>
      <w:r>
        <w:rPr>
          <w:color w:val="1F3B63"/>
        </w:rPr>
        <w:t>5. Riesgos a mitigar</w:t>
      </w:r>
    </w:p>
    <w:p>
      <w:pPr>
        <w:pStyle w:val="ListBullet"/>
      </w:pPr>
      <w:r>
        <w:rPr>
          <w:b/>
        </w:rPr>
        <w:t>Fuga de información</w:t>
      </w:r>
      <w:r>
        <w:t xml:space="preserve"> (prompt en herramientas no controladas).</w:t>
      </w:r>
    </w:p>
    <w:p>
      <w:pPr>
        <w:pStyle w:val="ListBullet"/>
      </w:pPr>
      <w:r>
        <w:rPr>
          <w:b/>
        </w:rPr>
        <w:t>Alucinaciones</w:t>
      </w:r>
      <w:r>
        <w:t xml:space="preserve"> (datos inventados en informes, contratos, análisis).</w:t>
      </w:r>
    </w:p>
    <w:p>
      <w:pPr>
        <w:pStyle w:val="ListBullet"/>
      </w:pPr>
      <w:r>
        <w:rPr>
          <w:b/>
        </w:rPr>
        <w:t>Sesgo algorítmico</w:t>
      </w:r>
      <w:r>
        <w:t xml:space="preserve"> (resultados discriminatorios).</w:t>
      </w:r>
    </w:p>
    <w:p>
      <w:pPr>
        <w:pStyle w:val="ListBullet"/>
      </w:pPr>
      <w:r>
        <w:rPr>
          <w:b/>
        </w:rPr>
        <w:t>Propiedad intelectual</w:t>
      </w:r>
      <w:r>
        <w:t xml:space="preserve"> (contenidos generados sin licencia o con derechos de terceros).</w:t>
      </w:r>
    </w:p>
    <w:p>
      <w:pPr>
        <w:pStyle w:val="ListBullet"/>
      </w:pPr>
      <w:r>
        <w:rPr>
          <w:b/>
        </w:rPr>
        <w:t>Envenenamiento de datos / ataques prompt injection</w:t>
      </w:r>
      <w:r>
        <w:t xml:space="preserve"> en asistentes conectados a sistemas del Banco.</w:t>
      </w:r>
    </w:p>
    <w:p>
      <w:pPr>
        <w:pStyle w:val="Heading3"/>
      </w:pPr>
      <w:r>
        <w:rPr>
          <w:color w:val="1F3B63"/>
        </w:rPr>
        <w:t>6. Cumplimiento</w:t>
      </w:r>
    </w:p>
    <w:p>
      <w:r>
        <w:t xml:space="preserve">El incumplimiento de la regla de </w:t>
      </w:r>
      <w:r>
        <w:rPr>
          <w:b/>
        </w:rPr>
        <w:t>no ingreso de datos confidenciales</w:t>
      </w:r>
      <w:r>
        <w:t xml:space="preserve"> se trata como incidente de seguridad (fuga potencial) y puede dar lugar a medidas disciplinarias. El DPD evalúa la obligación de </w:t>
      </w:r>
      <w:r>
        <w:rPr>
          <w:b/>
        </w:rPr>
        <w:t>notificación de vulneración de datos personales</w:t>
      </w:r>
      <w:r>
        <w:t xml:space="preserve"> a la URCDP si corresponde (art. 27-bis Ley 18.331).</w:t>
      </w:r>
    </w:p>
    <w:p>
      <w:pPr>
        <w:pStyle w:val="Heading3"/>
      </w:pPr>
      <w:r>
        <w:rPr>
          <w:color w:val="1F3B63"/>
        </w:rPr>
        <w:t>7. Revisión</w:t>
      </w:r>
    </w:p>
    <w:p>
      <w:r>
        <w:t xml:space="preserve">Dado el dinamismo de la IA, esta política se revisa </w:t>
      </w:r>
      <w:r>
        <w:rPr>
          <w:b/>
        </w:rPr>
        <w:t>cada 6 meses</w:t>
      </w:r>
      <w:r>
        <w:t xml:space="preserve"> o ante nuevas herramientas/normas nacionales o internacionales sobre IA.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Registro de herramientas de IA aprobadas</w:t>
            </w:r>
          </w:p>
        </w:tc>
        <w:tc>
          <w:tcPr>
            <w:tcW w:type="dxa" w:w="4824"/>
          </w:tcPr>
          <w:p>
            <w:r/>
            <w:r>
              <w:t>GV-04 (inventario de sistemas)</w:t>
            </w:r>
          </w:p>
        </w:tc>
      </w:tr>
      <w:tr>
        <w:tc>
          <w:tcPr>
            <w:tcW w:type="dxa" w:w="4824"/>
          </w:tcPr>
          <w:p>
            <w:r/>
            <w:r>
              <w:t>Capacitación sobre uso de IA</w:t>
            </w:r>
          </w:p>
        </w:tc>
        <w:tc>
          <w:tcPr>
            <w:tcW w:type="dxa" w:w="4824"/>
          </w:tcPr>
          <w:p>
            <w:r/>
            <w:r>
              <w:t>PR-02</w:t>
            </w:r>
          </w:p>
        </w:tc>
      </w:tr>
      <w:tr>
        <w:tc>
          <w:tcPr>
            <w:tcW w:type="dxa" w:w="4824"/>
          </w:tcPr>
          <w:p>
            <w:r/>
            <w:r>
              <w:t>Procedimiento de revisión de código generado</w:t>
            </w:r>
          </w:p>
        </w:tc>
        <w:tc>
          <w:tcPr>
            <w:tcW w:type="dxa" w:w="4824"/>
          </w:tcPr>
          <w:p>
            <w:r/>
            <w:r>
              <w:t>PR-07 (SDLC)</w:t>
            </w:r>
          </w:p>
        </w:tc>
      </w:tr>
      <w:tr>
        <w:tc>
          <w:tcPr>
            <w:tcW w:type="dxa" w:w="4824"/>
          </w:tcPr>
          <w:p>
            <w:r/>
            <w:r>
              <w:t>Análisis de riesgos del proyecto</w:t>
            </w:r>
          </w:p>
        </w:tc>
        <w:tc>
          <w:tcPr>
            <w:tcW w:type="dxa" w:w="4824"/>
          </w:tcPr>
          <w:p>
            <w:r/>
            <w:r>
              <w:t>GV-03, ID-02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