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VPOL-08 · Change Management Policy</w:t>
      </w:r>
    </w:p>
    <w:p>
      <w:pPr>
        <w:ind w:left="432"/>
      </w:pPr>
      <w:r>
        <w:rPr>
          <w:i/>
          <w:color w:val="606060"/>
        </w:rPr>
        <w:t>**Función del MCU 5.0:** Proteger (PR.PS — seguridad de plataformas) · Responder/Recuperar (estabilidad y continuidad)</w:t>
      </w:r>
    </w:p>
    <w:p>
      <w:pPr>
        <w:ind w:left="432"/>
      </w:pPr>
      <w:r>
        <w:rPr>
          <w:i/>
          <w:color w:val="606060"/>
        </w:rPr>
        <w:t>**ISO/IEC 27001:** A.8.32 (gestión de cambios) · A.8.9 (gestión de configuraciones) · A.12.1 (operaciones)</w:t>
      </w:r>
    </w:p>
    <w:p>
      <w:pPr>
        <w:ind w:left="432"/>
      </w:pPr>
      <w:r>
        <w:rPr>
          <w:i/>
          <w:color w:val="606060"/>
        </w:rPr>
        <w:t>**BCU:** EMG — cambios controlados en sistemas de información y pagos; Circular 2280 (sistema de pagos)</w:t>
      </w:r>
    </w:p>
    <w:p>
      <w:pPr>
        <w:ind w:left="432"/>
      </w:pPr>
      <w:r>
        <w:rPr>
          <w:i/>
          <w:color w:val="606060"/>
        </w:rPr>
        <w:t>**URCDP:** Ley 18.331 art. 10 — cambios que afecten medidas de seguridad requieren control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VPOL-08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Change Management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Div. TI (Gobierno de cambios)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RSI · Jefe de Producción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</w:t>
      </w:r>
      <w:r>
        <w:rPr>
          <w:b/>
        </w:rPr>
        <w:t>todo cambio</w:t>
      </w:r>
      <w:r>
        <w:t xml:space="preserve"> en los sistemas, aplicaciones, redes, configuraciones y controles de seguridad del Banco se </w:t>
      </w:r>
      <w:r>
        <w:rPr>
          <w:b/>
        </w:rPr>
        <w:t>planifique, apruebe, pruebe, documente y revierta</w:t>
      </w:r>
      <w:r>
        <w:t xml:space="preserve"> de forma controlada, minimizando el riesgo de interrupción del servicio y de introducción de vulnerabilidades.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cambios en: aplicaciones y core bancario, sistema de pagos, base de datos, sistemas operativos, equipos de red y seguridad (firewalls, WAF, SIEM), configuraciones de infraestructura, nube, cambios de parámetros de seguridad y cambios en proveedores de servicios. </w:t>
      </w:r>
      <w:r>
        <w:rPr>
          <w:b/>
        </w:rPr>
        <w:t>No alcanza</w:t>
      </w:r>
      <w:r>
        <w:t xml:space="preserve"> a los parches de emergencia de seguridad por vulnerabilidad crítica (se rigen por VPOL-20/PR-06), salvo en lo relativo a ventanas y registro.</w:t>
      </w:r>
    </w:p>
    <w:p>
      <w:pPr>
        <w:pStyle w:val="Heading3"/>
      </w:pPr>
      <w:r>
        <w:rPr>
          <w:color w:val="1F3B63"/>
        </w:rPr>
        <w:t>3. Clasificación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Características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Estándar</w:t>
            </w:r>
          </w:p>
        </w:tc>
        <w:tc>
          <w:tcPr>
            <w:tcW w:type="dxa" w:w="3216"/>
          </w:tcPr>
          <w:p>
            <w:r/>
            <w:r>
              <w:t>Pre-aprobado, repetitivo, de bajo riesgo</w:t>
            </w:r>
          </w:p>
        </w:tc>
        <w:tc>
          <w:tcPr>
            <w:tcW w:type="dxa" w:w="3216"/>
          </w:tcPr>
          <w:p>
            <w:r/>
            <w:r>
              <w:t>Alta de usuario con perfil definido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Normal</w:t>
            </w:r>
          </w:p>
        </w:tc>
        <w:tc>
          <w:tcPr>
            <w:tcW w:type="dxa" w:w="3216"/>
          </w:tcPr>
          <w:p>
            <w:r/>
            <w:r>
              <w:t>Requiere aprobación y ventana</w:t>
            </w:r>
          </w:p>
        </w:tc>
        <w:tc>
          <w:tcPr>
            <w:tcW w:type="dxa" w:w="3216"/>
          </w:tcPr>
          <w:p>
            <w:r/>
            <w:r>
              <w:t>Versión de una aplicación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Emergencia</w:t>
            </w:r>
          </w:p>
        </w:tc>
        <w:tc>
          <w:tcPr>
            <w:tcW w:type="dxa" w:w="3216"/>
          </w:tcPr>
          <w:p>
            <w:r/>
            <w:r>
              <w:t>Corrección urgente de falla o vulnerabilidad</w:t>
            </w:r>
          </w:p>
        </w:tc>
        <w:tc>
          <w:tcPr>
            <w:tcW w:type="dxa" w:w="3216"/>
          </w:tcPr>
          <w:p>
            <w:r/>
            <w:r>
              <w:t>Parche crítico, rollback por incidente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Mayor</w:t>
            </w:r>
          </w:p>
        </w:tc>
        <w:tc>
          <w:tcPr>
            <w:tcW w:type="dxa" w:w="3216"/>
          </w:tcPr>
          <w:p>
            <w:r/>
            <w:r>
              <w:t>Alto impacto/riesgo (core, pagos, seguridad)</w:t>
            </w:r>
          </w:p>
        </w:tc>
        <w:tc>
          <w:tcPr>
            <w:tcW w:type="dxa" w:w="3216"/>
          </w:tcPr>
          <w:p>
            <w:r/>
            <w:r>
              <w:t>Migración de core, cambio de firewall</w:t>
            </w:r>
          </w:p>
        </w:tc>
      </w:tr>
    </w:tbl>
    <w:p>
      <w:pPr>
        <w:pStyle w:val="Heading3"/>
      </w:pPr>
      <w:r>
        <w:rPr>
          <w:color w:val="1F3B63"/>
        </w:rPr>
        <w:t>4. Proceso de gestión de cambios (resumen)</w:t>
      </w:r>
    </w:p>
    <w:p>
      <w:pPr>
        <w:pStyle w:val="ListNumber"/>
      </w:pPr>
      <w:r>
        <w:rPr>
          <w:b/>
        </w:rPr>
        <w:t>Solicitud</w:t>
      </w:r>
      <w:r>
        <w:t xml:space="preserve"> de cambio (RFC) con descripción, motivo, riesgo, plan de prueba y de reversión.</w:t>
      </w:r>
    </w:p>
    <w:p>
      <w:pPr>
        <w:pStyle w:val="ListNumber"/>
      </w:pPr>
      <w:r>
        <w:rPr>
          <w:b/>
        </w:rPr>
        <w:t>Clasificación</w:t>
      </w:r>
      <w:r>
        <w:t xml:space="preserve"> del cambio (estándar / normal / emergencia / mayor).</w:t>
      </w:r>
    </w:p>
    <w:p>
      <w:pPr>
        <w:pStyle w:val="ListNumber"/>
      </w:pPr>
      <w:r>
        <w:rPr>
          <w:b/>
        </w:rPr>
        <w:t>Análisis de riesgo</w:t>
      </w:r>
      <w:r>
        <w:t xml:space="preserve"> (incluye impacto en seguridad, continuidad y datos personales).</w:t>
      </w:r>
    </w:p>
    <w:p>
      <w:pPr>
        <w:pStyle w:val="ListNumber"/>
      </w:pPr>
      <w:r>
        <w:rPr>
          <w:b/>
        </w:rPr>
        <w:t>Aprobación</w:t>
      </w:r>
      <w:r>
        <w:t xml:space="preserve"> por el </w:t>
      </w:r>
      <w:r>
        <w:rPr>
          <w:b/>
        </w:rPr>
        <w:t>Comité de Cambios</w:t>
      </w:r>
      <w:r>
        <w:t xml:space="preserve"> (y por el RSI cuando afecte controles de seguridad o datos).</w:t>
      </w:r>
    </w:p>
    <w:p>
      <w:pPr>
        <w:pStyle w:val="ListNumber"/>
      </w:pPr>
      <w:r>
        <w:rPr>
          <w:b/>
        </w:rPr>
        <w:t>Implementación</w:t>
      </w:r>
      <w:r>
        <w:t xml:space="preserve"> en la ventana autorizada, siguiendo el plan.</w:t>
      </w:r>
    </w:p>
    <w:p>
      <w:pPr>
        <w:pStyle w:val="ListNumber"/>
      </w:pPr>
      <w:r>
        <w:rPr>
          <w:b/>
        </w:rPr>
        <w:t>Prueba y verificación</w:t>
      </w:r>
      <w:r>
        <w:t xml:space="preserve"> post-cambio (servicio operativo, controles activos).</w:t>
      </w:r>
    </w:p>
    <w:p>
      <w:pPr>
        <w:pStyle w:val="ListNumber"/>
      </w:pPr>
      <w:r>
        <w:rPr>
          <w:b/>
        </w:rPr>
        <w:t>Registro y cierre</w:t>
      </w:r>
      <w:r>
        <w:t xml:space="preserve"> de la RFC con evidencia.</w:t>
      </w:r>
    </w:p>
    <w:p>
      <w:pPr>
        <w:pStyle w:val="Heading3"/>
      </w:pPr>
      <w:r>
        <w:rPr>
          <w:color w:val="1F3B63"/>
        </w:rPr>
        <w:t>5. Reglas de seguridad obligatorias</w:t>
      </w:r>
    </w:p>
    <w:p>
      <w:pPr>
        <w:pStyle w:val="ListBullet"/>
      </w:pPr>
      <w:r>
        <w:t xml:space="preserve">Ningún cambio puede </w:t>
      </w:r>
      <w:r>
        <w:rPr>
          <w:b/>
        </w:rPr>
        <w:t>deshabilitar o degradar un control de seguridad</w:t>
      </w:r>
      <w:r>
        <w:t xml:space="preserve"> sin aprobación expresa del RSI y plan de compensación.</w:t>
      </w:r>
    </w:p>
    <w:p>
      <w:pPr>
        <w:pStyle w:val="ListBullet"/>
      </w:pPr>
      <w:r>
        <w:t xml:space="preserve">Los cambios se prueban primero en </w:t>
      </w:r>
      <w:r>
        <w:rPr>
          <w:b/>
        </w:rPr>
        <w:t>ambiente de homologación</w:t>
      </w:r>
      <w:r>
        <w:t>, salvo emergencias justificadas.</w:t>
      </w:r>
    </w:p>
    <w:p>
      <w:pPr>
        <w:pStyle w:val="ListBullet"/>
      </w:pPr>
      <w:r>
        <w:t>Las configuraciones críticas se versionan y se respalda la configuración previa (para reversión).</w:t>
      </w:r>
    </w:p>
    <w:p>
      <w:pPr>
        <w:pStyle w:val="ListBullet"/>
      </w:pPr>
      <w:r>
        <w:t xml:space="preserve">Acceso a producción para implementar cambios: </w:t>
      </w:r>
      <w:r>
        <w:rPr>
          <w:b/>
        </w:rPr>
        <w:t>mínimo privilegio, con registro y auditoría</w:t>
      </w:r>
      <w:r>
        <w:t xml:space="preserve"> (VPOL-19 / PR-01).</w:t>
      </w:r>
    </w:p>
    <w:p>
      <w:pPr>
        <w:pStyle w:val="ListBullet"/>
      </w:pPr>
      <w:r>
        <w:t xml:space="preserve">Cambios en sistemas que tratan datos personales o de pago requieren verificación de que </w:t>
      </w:r>
      <w:r>
        <w:rPr>
          <w:b/>
        </w:rPr>
        <w:t>no se reduce la protección</w:t>
      </w:r>
      <w:r>
        <w:t xml:space="preserve"> (Ley 18.331; BCU pagos).</w:t>
      </w:r>
    </w:p>
    <w:p>
      <w:pPr>
        <w:pStyle w:val="Heading3"/>
      </w:pPr>
      <w:r>
        <w:rPr>
          <w:color w:val="1F3B63"/>
        </w:rPr>
        <w:t>6. Emergencias</w:t>
      </w:r>
    </w:p>
    <w:p>
      <w:pPr>
        <w:pStyle w:val="ListBullet"/>
      </w:pPr>
      <w:r>
        <w:t xml:space="preserve">En emergencias, un </w:t>
      </w:r>
      <w:r>
        <w:rPr>
          <w:b/>
        </w:rPr>
        <w:t>grupo reducido autorizado</w:t>
      </w:r>
      <w:r>
        <w:t xml:space="preserve"> puede implementar sin esperar el Comité, con </w:t>
      </w:r>
      <w:r>
        <w:rPr>
          <w:b/>
        </w:rPr>
        <w:t>autorización posterior inmediata</w:t>
      </w:r>
      <w:r>
        <w:t xml:space="preserve"> y registro completo.</w:t>
      </w:r>
    </w:p>
    <w:p>
      <w:pPr>
        <w:pStyle w:val="ListBullet"/>
      </w:pPr>
      <w:r>
        <w:t>Toda emergencia se revisa luego para determinar el cambio permanente y las lecciones aprendidas.</w:t>
      </w:r>
    </w:p>
    <w:p>
      <w:pPr>
        <w:pStyle w:val="Heading3"/>
      </w:pPr>
      <w:r>
        <w:rPr>
          <w:color w:val="1F3B63"/>
        </w:rPr>
        <w:t>7. Cumplimiento y excepciones</w:t>
      </w:r>
    </w:p>
    <w:p>
      <w:pPr>
        <w:pStyle w:val="ListBullet"/>
      </w:pPr>
      <w:r>
        <w:t xml:space="preserve">El incumplimiento (cambios sin RFC, cambios fuera de ventana sin causa) se trata como </w:t>
      </w:r>
      <w:r>
        <w:rPr>
          <w:b/>
        </w:rPr>
        <w:t>incidente de control interno</w:t>
      </w:r>
      <w:r>
        <w:t>.</w:t>
      </w:r>
    </w:p>
    <w:p>
      <w:pPr>
        <w:pStyle w:val="ListBullet"/>
      </w:pPr>
      <w:r>
        <w:t>Excepciones: solo con aprobación del Comité de Cambios y plazo definido.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Procedimiento de cambios y registro de RFC</w:t>
            </w:r>
          </w:p>
        </w:tc>
        <w:tc>
          <w:tcPr>
            <w:tcW w:type="dxa" w:w="4824"/>
          </w:tcPr>
          <w:p>
            <w:r/>
            <w:r>
              <w:t>PR-07 (SDLC) / BCU-04</w:t>
            </w:r>
          </w:p>
        </w:tc>
      </w:tr>
      <w:tr>
        <w:tc>
          <w:tcPr>
            <w:tcW w:type="dxa" w:w="4824"/>
          </w:tcPr>
          <w:p>
            <w:r/>
            <w:r>
              <w:t>Bitácora de cambios con aprobaciones</w:t>
            </w:r>
          </w:p>
        </w:tc>
        <w:tc>
          <w:tcPr>
            <w:tcW w:type="dxa" w:w="4824"/>
          </w:tcPr>
          <w:p>
            <w:r/>
            <w:r>
              <w:t>GV-06 (control de cambios)</w:t>
            </w:r>
          </w:p>
        </w:tc>
      </w:tr>
      <w:tr>
        <w:tc>
          <w:tcPr>
            <w:tcW w:type="dxa" w:w="4824"/>
          </w:tcPr>
          <w:p>
            <w:r/>
            <w:r>
              <w:t>Pruebas en homologación</w:t>
            </w:r>
          </w:p>
        </w:tc>
        <w:tc>
          <w:tcPr>
            <w:tcW w:type="dxa" w:w="4824"/>
          </w:tcPr>
          <w:p>
            <w:r/>
            <w:r>
              <w:t>PR-07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