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VPOL-09 · Clear Desk Policy</w:t>
      </w:r>
    </w:p>
    <w:p>
      <w:pPr>
        <w:ind w:left="432"/>
      </w:pPr>
      <w:r>
        <w:rPr>
          <w:i/>
          <w:color w:val="606060"/>
        </w:rPr>
        <w:t>**Función del MCU 5.0:** Proteger (PR.PS — protección de la información y los medios)</w:t>
      </w:r>
    </w:p>
    <w:p>
      <w:pPr>
        <w:ind w:left="432"/>
      </w:pPr>
      <w:r>
        <w:rPr>
          <w:i/>
          <w:color w:val="606060"/>
        </w:rPr>
        <w:t>**ISO/IEC 27001:** A.7.7 (escritorio y pantalla limpios) · A.8.3 (medios de almacenamiento)</w:t>
      </w:r>
    </w:p>
    <w:p>
      <w:pPr>
        <w:ind w:left="432"/>
      </w:pPr>
      <w:r>
        <w:rPr>
          <w:i/>
          <w:color w:val="606060"/>
        </w:rPr>
        <w:t>**BCU:** EMG — protección física de la información</w:t>
      </w:r>
    </w:p>
    <w:p>
      <w:pPr>
        <w:ind w:left="432"/>
      </w:pPr>
      <w:r>
        <w:rPr>
          <w:i/>
          <w:color w:val="606060"/>
        </w:rPr>
        <w:t>**URCDP:** Ley 18.331 art. 10 — medidas organizativas de protección de datos personales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VPOL-09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Clear Desk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Seguridad Física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Reducir el riesgo de </w:t>
      </w:r>
      <w:r>
        <w:rPr>
          <w:b/>
        </w:rPr>
        <w:t>fuga o acceso no autorizado a información</w:t>
      </w:r>
      <w:r>
        <w:t xml:space="preserve"> que queda expuesta en escritorios, pantallas e impresiones cuando el personal se ausenta de su puesto.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todas las oficinas del Banco, puestos de atención, mesas de trabajo, salas de reunión y puestos temporales (hoteling, practicantes, consultores).</w:t>
      </w:r>
    </w:p>
    <w:p>
      <w:pPr>
        <w:pStyle w:val="Heading3"/>
      </w:pPr>
      <w:r>
        <w:rPr>
          <w:color w:val="1F3B63"/>
        </w:rPr>
        <w:t>3. Reglas de escritorio limpio</w:t>
      </w:r>
    </w:p>
    <w:p>
      <w:pPr>
        <w:pStyle w:val="ListBullet"/>
      </w:pPr>
      <w:r>
        <w:t>Al ausentarse del puesto, el usuario debe:</w:t>
      </w:r>
    </w:p>
    <w:p>
      <w:pPr>
        <w:pStyle w:val="ListBullet"/>
      </w:pPr>
      <w:r>
        <w:rPr>
          <w:b/>
        </w:rPr>
        <w:t>Bloquear la estación de trabajo</w:t>
      </w:r>
      <w:r>
        <w:t xml:space="preserve"> (tecla de bloqueo o bloqueo por inactividad [COMPLETAR: minutos, p. ej. 5]).</w:t>
      </w:r>
    </w:p>
    <w:p>
      <w:pPr>
        <w:pStyle w:val="ListBullet"/>
      </w:pPr>
      <w:r>
        <w:t xml:space="preserve">Guardar </w:t>
      </w:r>
      <w:r>
        <w:rPr>
          <w:b/>
        </w:rPr>
        <w:t>documentos impresos y papeles con información</w:t>
      </w:r>
      <w:r>
        <w:t xml:space="preserve"> en cajones con llave o destructora.</w:t>
      </w:r>
    </w:p>
    <w:p>
      <w:pPr>
        <w:pStyle w:val="ListBullet"/>
      </w:pPr>
      <w:r>
        <w:rPr>
          <w:b/>
        </w:rPr>
        <w:t>Cerrar sesión</w:t>
      </w:r>
      <w:r>
        <w:t xml:space="preserve"> en aplicaciones sensibles al terminar la jornada.</w:t>
      </w:r>
    </w:p>
    <w:p>
      <w:pPr>
        <w:pStyle w:val="ListBullet"/>
      </w:pPr>
      <w:r>
        <w:rPr>
          <w:b/>
        </w:rPr>
        <w:t>Prohibido</w:t>
      </w:r>
      <w:r>
        <w:t xml:space="preserve"> dejar tarjetas de acceso, llaves, pendrives o documentos confidenciales a la vista.</w:t>
      </w:r>
    </w:p>
    <w:p>
      <w:pPr>
        <w:pStyle w:val="ListBullet"/>
      </w:pPr>
      <w:r>
        <w:t xml:space="preserve">Los </w:t>
      </w:r>
      <w:r>
        <w:rPr>
          <w:b/>
        </w:rPr>
        <w:t>impresos</w:t>
      </w:r>
      <w:r>
        <w:t xml:space="preserve"> se retiran de inmediato de impresoras multifunción; las impresoras de uso compartido se liberan con autenticación cuando sea técnicamente posible.</w:t>
      </w:r>
    </w:p>
    <w:p>
      <w:pPr>
        <w:pStyle w:val="ListBullet"/>
      </w:pPr>
      <w:r>
        <w:t xml:space="preserve">Las </w:t>
      </w:r>
      <w:r>
        <w:rPr>
          <w:b/>
        </w:rPr>
        <w:t>salas de reunión</w:t>
      </w:r>
      <w:r>
        <w:t xml:space="preserve"> se limpian al finalizar: borrar pizarras, retirar documentos y desconectar dispositivos personales.</w:t>
      </w:r>
    </w:p>
    <w:p>
      <w:pPr>
        <w:pStyle w:val="ListBullet"/>
      </w:pPr>
      <w:r>
        <w:t>En puestos de atención al cliente, la pantalla no debe mostrar datos personales de otros clientes.</w:t>
      </w:r>
    </w:p>
    <w:p>
      <w:pPr>
        <w:pStyle w:val="Heading3"/>
      </w:pPr>
      <w:r>
        <w:rPr>
          <w:color w:val="1F3B63"/>
        </w:rPr>
        <w:t>4. Pantalla limpia (visualización)</w:t>
      </w:r>
    </w:p>
    <w:p>
      <w:pPr>
        <w:pStyle w:val="ListBullet"/>
      </w:pPr>
      <w:r>
        <w:t>Bloqueo automático de pantalla: [COMPLETAR: 5] minutos de inactividad.</w:t>
      </w:r>
    </w:p>
    <w:p>
      <w:pPr>
        <w:pStyle w:val="ListBullet"/>
      </w:pPr>
      <w:r>
        <w:t>Información con datos personales/clientes solo visible para quien la necesita (need-to-know).</w:t>
      </w:r>
    </w:p>
    <w:p>
      <w:pPr>
        <w:pStyle w:val="ListBullet"/>
      </w:pPr>
      <w:r>
        <w:t>Prohibido pegar notas con contraseñas o datos en el monitor.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Cada usuario</w:t>
      </w:r>
      <w:r>
        <w:t xml:space="preserve"> es responsable de su puesto.</w:t>
      </w:r>
    </w:p>
    <w:p>
      <w:pPr>
        <w:pStyle w:val="ListBullet"/>
      </w:pPr>
      <w:r>
        <w:rPr>
          <w:b/>
        </w:rPr>
        <w:t>Seguridad Física y jefes de área</w:t>
      </w:r>
      <w:r>
        <w:t xml:space="preserve"> realizan </w:t>
      </w:r>
      <w:r>
        <w:rPr>
          <w:b/>
        </w:rPr>
        <w:t>auditorías sorpresa</w:t>
      </w:r>
      <w:r>
        <w:t xml:space="preserve"> periódicas y registran desvíos.</w:t>
      </w:r>
    </w:p>
    <w:p>
      <w:pPr>
        <w:pStyle w:val="ListBullet"/>
      </w:pPr>
      <w:r>
        <w:rPr>
          <w:b/>
        </w:rPr>
        <w:t>RRHH</w:t>
      </w:r>
      <w:r>
        <w:t xml:space="preserve"> gestiona consecuencias por incumplimiento reiterado.</w:t>
      </w:r>
    </w:p>
    <w:p>
      <w:pPr>
        <w:pStyle w:val="Heading3"/>
      </w:pPr>
      <w:r>
        <w:rPr>
          <w:color w:val="1F3B63"/>
        </w:rPr>
        <w:t>6. Cumplimiento y revisión</w:t>
      </w:r>
    </w:p>
    <w:p>
      <w:r>
        <w:t xml:space="preserve">El incumplimiento reiterado se registra como </w:t>
      </w:r>
      <w:r>
        <w:rPr>
          <w:b/>
        </w:rPr>
        <w:t>observación de seguridad</w:t>
      </w:r>
      <w:r>
        <w:t xml:space="preserve"> y puede escalarse a medidas disciplinarias. Revisión anual.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Auditorías de escritorio limpio (acta)</w:t>
            </w:r>
          </w:p>
        </w:tc>
        <w:tc>
          <w:tcPr>
            <w:tcW w:type="dxa" w:w="4824"/>
          </w:tcPr>
          <w:p>
            <w:r/>
            <w:r>
              <w:t>PR-04 (Seguridad física)</w:t>
            </w:r>
          </w:p>
        </w:tc>
      </w:tr>
      <w:tr>
        <w:tc>
          <w:tcPr>
            <w:tcW w:type="dxa" w:w="4824"/>
          </w:tcPr>
          <w:p>
            <w:r/>
            <w:r>
              <w:t>Configuración de bloqueo automático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Campaña de concientización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