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VPOL-10 · Cloud Computing Services Usage Policy</w:t>
      </w:r>
    </w:p>
    <w:p>
      <w:pPr>
        <w:ind w:left="432"/>
      </w:pPr>
      <w:r>
        <w:rPr>
          <w:i/>
          <w:color w:val="606060"/>
        </w:rPr>
        <w:t>**Función del MCU 5.0:** Gobernar (GV.OR — gestión de riesgos del tercero) · Proteger (PR.DS — seguridad de datos en nube)</w:t>
      </w:r>
    </w:p>
    <w:p>
      <w:pPr>
        <w:ind w:left="432"/>
      </w:pPr>
      <w:r>
        <w:rPr>
          <w:i/>
          <w:color w:val="606060"/>
        </w:rPr>
        <w:t>**ISO/IEC 27001:** A.5.19/5.20/5.21 (relaciones con proveedores y TIC) · A.8.11/8.12 (ocultamiento y fuga de datos) · A.12.1</w:t>
      </w:r>
    </w:p>
    <w:p>
      <w:pPr>
        <w:ind w:left="432"/>
      </w:pPr>
      <w:r>
        <w:rPr>
          <w:i/>
          <w:color w:val="606060"/>
        </w:rPr>
        <w:t>**BCU:** EMG y Circular 2280 — riesgo de tercerización; control del proveedor de nube</w:t>
      </w:r>
    </w:p>
    <w:p>
      <w:pPr>
        <w:ind w:left="432"/>
      </w:pPr>
      <w:r>
        <w:rPr>
          <w:i/>
          <w:color w:val="606060"/>
        </w:rPr>
        <w:t>**URCDP:** Ley 18.331 — transferencia de datos personales, incluso a proveedores en el exterior; notificación de vulneraciones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Cloud Computing Services Usage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Div. TI (Arquitectura)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DPD · Comité de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Regular la </w:t>
      </w:r>
      <w:r>
        <w:rPr>
          <w:b/>
        </w:rPr>
        <w:t>adopción y el uso de servicios de computación en la nube</w:t>
      </w:r>
      <w:r>
        <w:t xml:space="preserve"> (IaaS, PaaS, SaaS) para que la información del Banco esté protegida al mismo nivel (o superior) que en las instalaciones propias, cumpliendo los requisitos del BCU y la URCDP.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cualquier servicio de nube que procese, almacene o transmita información del Banco: correo en nube, ERP/SaaS, infraestructura IaaS (VM, contenedores), bases de datos como servicio, copias de seguridad en nube y herramientas SaaS (incluidas las de IA — ver VPOL-07). Aplica también al </w:t>
      </w:r>
      <w:r>
        <w:rPr>
          <w:b/>
        </w:rPr>
        <w:t>uso personal no autorizado</w:t>
      </w:r>
      <w:r>
        <w:t xml:space="preserve"> de nubes con datos del Banco.</w:t>
      </w:r>
    </w:p>
    <w:p>
      <w:pPr>
        <w:pStyle w:val="Heading3"/>
      </w:pPr>
      <w:r>
        <w:rPr>
          <w:color w:val="1F3B63"/>
        </w:rPr>
        <w:t>3. Requisitos previos a la adopción (Debida diligencia)</w:t>
      </w:r>
    </w:p>
    <w:p>
      <w:pPr>
        <w:pStyle w:val="ListNumber"/>
      </w:pPr>
      <w:r>
        <w:rPr>
          <w:b/>
        </w:rPr>
        <w:t>Análisis de riesgo</w:t>
      </w:r>
      <w:r>
        <w:t xml:space="preserve"> del proveedor (GV-05 / PR-08): reputación, certificaciones, ubicación de los datos.</w:t>
      </w:r>
    </w:p>
    <w:p>
      <w:pPr>
        <w:pStyle w:val="ListNumber"/>
      </w:pPr>
      <w:r>
        <w:rPr>
          <w:b/>
        </w:rPr>
        <w:t>Evaluación legal y de datos personales</w:t>
      </w:r>
      <w:r>
        <w:t xml:space="preserve"> con el DPD: ¿hay transferencia internacional de datos? ¿se necesita habilitación/autorización de la URCDP?</w:t>
      </w:r>
    </w:p>
    <w:p>
      <w:pPr>
        <w:pStyle w:val="ListNumber"/>
      </w:pPr>
      <w:r>
        <w:rPr>
          <w:b/>
        </w:rPr>
        <w:t>Requisitos de seguridad mínimos</w:t>
      </w:r>
      <w:r>
        <w:t>: cifrado en tránsito y en reposo, MFA obligatoria, control de accesos, auditoría/logs, notificación de incidentes en plazos [COMPLETAR: p. ej. 24–72 h].</w:t>
      </w:r>
    </w:p>
    <w:p>
      <w:pPr>
        <w:pStyle w:val="ListNumber"/>
      </w:pPr>
      <w:r>
        <w:rPr>
          <w:b/>
        </w:rPr>
        <w:t>Acuerdo de nivel de servicio (SLA)</w:t>
      </w:r>
      <w:r>
        <w:t xml:space="preserve"> y plan de salida (exportación y eliminación segura de datos).</w:t>
      </w:r>
    </w:p>
    <w:p>
      <w:pPr>
        <w:pStyle w:val="ListNumber"/>
      </w:pPr>
      <w:r>
        <w:t xml:space="preserve">Aprobación del </w:t>
      </w:r>
      <w:r>
        <w:rPr>
          <w:b/>
        </w:rPr>
        <w:t>Comité de Seguridad</w:t>
      </w:r>
      <w:r>
        <w:t>.</w:t>
      </w:r>
    </w:p>
    <w:p>
      <w:pPr>
        <w:pStyle w:val="Heading3"/>
      </w:pPr>
      <w:r>
        <w:rPr>
          <w:color w:val="1F3B63"/>
        </w:rPr>
        <w:t>4. Reglas de configuración segura</w:t>
      </w:r>
    </w:p>
    <w:p>
      <w:pPr>
        <w:pStyle w:val="ListBullet"/>
      </w:pPr>
      <w:r>
        <w:rPr>
          <w:b/>
        </w:rPr>
        <w:t>Cifrado:</w:t>
      </w:r>
      <w:r>
        <w:t xml:space="preserve"> datos en reposo con claves gestionadas por el Banco cuando sea posible; en tránsito siempre TLS.</w:t>
      </w:r>
    </w:p>
    <w:p>
      <w:pPr>
        <w:pStyle w:val="ListBullet"/>
      </w:pPr>
      <w:r>
        <w:rPr>
          <w:b/>
        </w:rPr>
        <w:t>Accesos:</w:t>
      </w:r>
      <w:r>
        <w:t xml:space="preserve"> MFA obligatoria para consolas de administración; </w:t>
      </w:r>
      <w:r>
        <w:rPr>
          <w:b/>
        </w:rPr>
        <w:t>roles con mínimo privilegio</w:t>
      </w:r>
      <w:r>
        <w:t>; revisión trimestral de accesos.</w:t>
      </w:r>
    </w:p>
    <w:p>
      <w:pPr>
        <w:pStyle w:val="ListBullet"/>
      </w:pPr>
      <w:r>
        <w:rPr>
          <w:b/>
        </w:rPr>
        <w:t>Cuentas de servicio:</w:t>
      </w:r>
      <w:r>
        <w:t xml:space="preserve"> prohibido usar la cuenta raíz; cada integración con su rol y credencial (tokens, sin claves en el código).</w:t>
      </w:r>
    </w:p>
    <w:p>
      <w:pPr>
        <w:pStyle w:val="ListBullet"/>
      </w:pPr>
      <w:r>
        <w:rPr>
          <w:b/>
        </w:rPr>
        <w:t>Visibilidad:</w:t>
      </w:r>
      <w:r>
        <w:t xml:space="preserve"> todos los recursos en nube se integran al </w:t>
      </w:r>
      <w:r>
        <w:rPr>
          <w:b/>
        </w:rPr>
        <w:t>monitoreo (SIEM)</w:t>
      </w:r>
      <w:r>
        <w:t xml:space="preserve"> y al </w:t>
      </w:r>
      <w:r>
        <w:rPr>
          <w:b/>
        </w:rPr>
        <w:t>inventario de activos</w:t>
      </w:r>
      <w:r>
        <w:t xml:space="preserve"> (ID-01).</w:t>
      </w:r>
    </w:p>
    <w:p>
      <w:pPr>
        <w:pStyle w:val="ListBullet"/>
      </w:pPr>
      <w:r>
        <w:rPr>
          <w:b/>
        </w:rPr>
        <w:t>Prevención de fuga (DLP):</w:t>
      </w:r>
      <w:r>
        <w:t xml:space="preserve"> reglas que bloqueen datos confidenciales hacia servicios no autorizados.</w:t>
      </w:r>
    </w:p>
    <w:p>
      <w:pPr>
        <w:pStyle w:val="ListBullet"/>
      </w:pPr>
      <w:r>
        <w:rPr>
          <w:b/>
        </w:rPr>
        <w:t>Configuración pública:</w:t>
      </w:r>
      <w:r>
        <w:t xml:space="preserve"> revisión periódica de buckets/VMs/repositorios que hayan quedado </w:t>
      </w:r>
      <w:r>
        <w:rPr>
          <w:b/>
        </w:rPr>
        <w:t>públicos por error</w:t>
      </w:r>
      <w:r>
        <w:t xml:space="preserve"> (ej. escaneo de credenciales y de permisos).</w:t>
      </w:r>
    </w:p>
    <w:p>
      <w:pPr>
        <w:pStyle w:val="Heading3"/>
      </w:pPr>
      <w:r>
        <w:rPr>
          <w:color w:val="1F3B63"/>
        </w:rPr>
        <w:t>5. Responsabilidades compartidas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4824"/>
          </w:tcPr>
          <w:p>
            <w:r/>
            <w:r>
              <w:t>Instalaciones, hardware, red del proveedor</w:t>
            </w:r>
          </w:p>
        </w:tc>
        <w:tc>
          <w:tcPr>
            <w:tcW w:type="dxa" w:w="4824"/>
          </w:tcPr>
          <w:p>
            <w:r/>
            <w:r>
              <w:t>Proveedor de nube</w:t>
            </w:r>
          </w:p>
        </w:tc>
      </w:tr>
      <w:tr>
        <w:tc>
          <w:tcPr>
            <w:tcW w:type="dxa" w:w="4824"/>
          </w:tcPr>
          <w:p>
            <w:r/>
            <w:r>
              <w:t>Sistema operativo, contenedores, aplicaciones, datos</w:t>
            </w:r>
          </w:p>
        </w:tc>
        <w:tc>
          <w:tcPr>
            <w:tcW w:type="dxa" w:w="4824"/>
          </w:tcPr>
          <w:p>
            <w:r/>
            <w:r>
              <w:t>Banco</w:t>
            </w:r>
          </w:p>
        </w:tc>
      </w:tr>
      <w:tr>
        <w:tc>
          <w:tcPr>
            <w:tcW w:type="dxa" w:w="4824"/>
          </w:tcPr>
          <w:p>
            <w:r/>
            <w:r>
              <w:t>Configuración de los servicios usados (SaaS)</w:t>
            </w:r>
          </w:p>
        </w:tc>
        <w:tc>
          <w:tcPr>
            <w:tcW w:type="dxa" w:w="4824"/>
          </w:tcPr>
          <w:p>
            <w:r/>
            <w:r>
              <w:t>Banco (parametrización)</w:t>
            </w:r>
          </w:p>
        </w:tc>
      </w:tr>
      <w:tr>
        <w:tc>
          <w:tcPr>
            <w:tcW w:type="dxa" w:w="4824"/>
          </w:tcPr>
          <w:p>
            <w:r/>
            <w:r>
              <w:t>Cumplimiento de la Ley 18.331</w:t>
            </w:r>
          </w:p>
        </w:tc>
        <w:tc>
          <w:tcPr>
            <w:tcW w:type="dxa" w:w="4824"/>
          </w:tcPr>
          <w:p>
            <w:r/>
            <w:r>
              <w:t>Banco (es el responsable del tratamiento)</w:t>
            </w:r>
          </w:p>
        </w:tc>
      </w:tr>
    </w:tbl>
    <w:p>
      <w:pPr>
        <w:pStyle w:val="Heading3"/>
      </w:pPr>
      <w:r>
        <w:rPr>
          <w:color w:val="1F3B63"/>
        </w:rPr>
        <w:t>6. Incidentes y notificación</w:t>
      </w:r>
    </w:p>
    <w:p>
      <w:pPr>
        <w:pStyle w:val="ListBullet"/>
      </w:pPr>
      <w:r>
        <w:t xml:space="preserve">Todo incidente en la nube (acceso no autorizado, fuga, pérdida) se trata con el </w:t>
      </w:r>
      <w:r>
        <w:rPr>
          <w:b/>
        </w:rPr>
        <w:t>plan de gestión de incidentes</w:t>
      </w:r>
      <w:r>
        <w:t xml:space="preserve"> (RS-01) y se </w:t>
      </w:r>
      <w:r>
        <w:rPr>
          <w:b/>
        </w:rPr>
        <w:t>notifica a la URCDP</w:t>
      </w:r>
      <w:r>
        <w:t xml:space="preserve"> si afecta datos personales (art. 27-bis).</w:t>
      </w:r>
    </w:p>
    <w:p>
      <w:pPr>
        <w:pStyle w:val="ListBullet"/>
      </w:pPr>
      <w:r>
        <w:t>El proveedor debe comprometerse a notificar al Banco los incidentes que lo afecten.</w:t>
      </w:r>
    </w:p>
    <w:p>
      <w:pPr>
        <w:pStyle w:val="Heading3"/>
      </w:pPr>
      <w:r>
        <w:rPr>
          <w:color w:val="1F3B63"/>
        </w:rPr>
        <w:t>7. Cumplimiento y excepciones</w:t>
      </w:r>
    </w:p>
    <w:p>
      <w:pPr>
        <w:pStyle w:val="ListBullet"/>
      </w:pPr>
      <w:r>
        <w:t xml:space="preserve">El uso de nubes </w:t>
      </w:r>
      <w:r>
        <w:rPr>
          <w:b/>
        </w:rPr>
        <w:t>no autorizadas</w:t>
      </w:r>
      <w:r>
        <w:t xml:space="preserve"> con datos del Banco es una </w:t>
      </w:r>
      <w:r>
        <w:rPr>
          <w:b/>
        </w:rPr>
        <w:t>violación grave</w:t>
      </w:r>
      <w:r>
        <w:t xml:space="preserve"> (tratamiento como incidente de fuga).</w:t>
      </w:r>
    </w:p>
    <w:p>
      <w:pPr>
        <w:pStyle w:val="ListBullet"/>
      </w:pPr>
      <w:r>
        <w:t>Excepciones: autorizadas por el Comité de Seguridad con plazo definido y mitigaciones.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Análisis de riesgo y contrato del proveedor</w:t>
            </w:r>
          </w:p>
        </w:tc>
        <w:tc>
          <w:tcPr>
            <w:tcW w:type="dxa" w:w="4824"/>
          </w:tcPr>
          <w:p>
            <w:r/>
            <w:r>
              <w:t>GV-05, PR-08</w:t>
            </w:r>
          </w:p>
        </w:tc>
      </w:tr>
      <w:tr>
        <w:tc>
          <w:tcPr>
            <w:tcW w:type="dxa" w:w="4824"/>
          </w:tcPr>
          <w:p>
            <w:r/>
            <w:r>
              <w:t>Inventario de servicios en nube</w:t>
            </w:r>
          </w:p>
        </w:tc>
        <w:tc>
          <w:tcPr>
            <w:tcW w:type="dxa" w:w="4824"/>
          </w:tcPr>
          <w:p>
            <w:r/>
            <w:r>
              <w:t>ID-01, GV-04</w:t>
            </w:r>
          </w:p>
        </w:tc>
      </w:tr>
      <w:tr>
        <w:tc>
          <w:tcPr>
            <w:tcW w:type="dxa" w:w="4824"/>
          </w:tcPr>
          <w:p>
            <w:r/>
            <w:r>
              <w:t>Configuración de cifrado y MFA</w:t>
            </w:r>
          </w:p>
        </w:tc>
        <w:tc>
          <w:tcPr>
            <w:tcW w:type="dxa" w:w="4824"/>
          </w:tcPr>
          <w:p>
            <w:r/>
            <w:r>
              <w:t>PR-03, PR-01</w:t>
            </w:r>
          </w:p>
        </w:tc>
      </w:tr>
      <w:tr>
        <w:tc>
          <w:tcPr>
            <w:tcW w:type="dxa" w:w="4824"/>
          </w:tcPr>
          <w:p>
            <w:r/>
            <w:r>
              <w:t>Alimentación del SIEM</w:t>
            </w:r>
          </w:p>
        </w:tc>
        <w:tc>
          <w:tcPr>
            <w:tcW w:type="dxa" w:w="4824"/>
          </w:tcPr>
          <w:p>
            <w:r/>
            <w:r>
              <w:t>DE-01</w:t>
            </w:r>
          </w:p>
        </w:tc>
      </w:tr>
      <w:tr>
        <w:tc>
          <w:tcPr>
            <w:tcW w:type="dxa" w:w="4824"/>
          </w:tcPr>
          <w:p>
            <w:r/>
            <w:r>
              <w:t>Habilitación URCDP (si corresponde)</w:t>
            </w:r>
          </w:p>
        </w:tc>
        <w:tc>
          <w:tcPr>
            <w:tcW w:type="dxa" w:w="4824"/>
          </w:tcPr>
          <w:p>
            <w:r/>
            <w:r>
              <w:t>URCDP-01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