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VPOL-11 · Data Backup Policy</w:t>
      </w:r>
    </w:p>
    <w:p>
      <w:pPr>
        <w:ind w:left="432"/>
      </w:pPr>
      <w:r>
        <w:rPr>
          <w:i/>
          <w:color w:val="606060"/>
        </w:rPr>
        <w:t>**Función del MCU 5.0:** Recuperar (RC.RP — ejecutar planes de recuperación) · Proteger (PR.DS — respaldo)</w:t>
      </w:r>
    </w:p>
    <w:p>
      <w:pPr>
        <w:ind w:left="432"/>
      </w:pPr>
      <w:r>
        <w:rPr>
          <w:i/>
          <w:color w:val="606060"/>
        </w:rPr>
        <w:t>**ISO/IEC 27001:** A.8.13 (respaldos de la información) · A.8.14 (redundancia) · A.12.3</w:t>
      </w:r>
    </w:p>
    <w:p>
      <w:pPr>
        <w:ind w:left="432"/>
      </w:pPr>
      <w:r>
        <w:rPr>
          <w:i/>
          <w:color w:val="606060"/>
        </w:rPr>
        <w:t>**BCU:** EMG y RNRCSF — continuidad del negocio y recuperación de datos críticos</w:t>
      </w:r>
    </w:p>
    <w:p>
      <w:pPr>
        <w:ind w:left="432"/>
      </w:pPr>
      <w:r>
        <w:rPr>
          <w:i/>
          <w:color w:val="606060"/>
        </w:rPr>
        <w:t>**URCDP:** Ley 18.331 art. 10 — pérdida o destrucción de datos personales como vulneración notificable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VPOL-11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Data Backup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Div. TI (Respaldos) + 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Jefe de Producción · BCU (continuidad)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Garantizar que la información crítica del Banco esté </w:t>
      </w:r>
      <w:r>
        <w:rPr>
          <w:b/>
        </w:rPr>
        <w:t>respaldada, protegida y recuperable</w:t>
      </w:r>
      <w:r>
        <w:t xml:space="preserve"> dentro de los objetivos de tiempo (RTO) y de pérdida de datos (RPO) definidos, ante fallos, desastres, ataques (incluido ransomware) o errores humanos.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todas las plataformas, bases de datos, aplicaciones, archivos compartidos, correo, configuraciones de red/seguridad y, cuando corresponda, a los datos críticos de los sistemas en nube (ver VPOL-10).</w:t>
      </w:r>
    </w:p>
    <w:p>
      <w:pPr>
        <w:pStyle w:val="Heading3"/>
      </w:pPr>
      <w:r>
        <w:rPr>
          <w:color w:val="1F3B63"/>
        </w:rPr>
        <w:t>3. Clasificación de datos y niveles de respaldo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Tipo de dato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Frecuencia de respaldo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RPO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RTO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Crítico</w:t>
            </w:r>
          </w:p>
        </w:tc>
        <w:tc>
          <w:tcPr>
            <w:tcW w:type="dxa" w:w="1930"/>
          </w:tcPr>
          <w:p>
            <w:r/>
            <w:r>
              <w:t>Core bancario, sistema de pagos, Banco En Línea, base de clientes</w:t>
            </w:r>
          </w:p>
        </w:tc>
        <w:tc>
          <w:tcPr>
            <w:tcW w:type="dxa" w:w="1930"/>
          </w:tcPr>
          <w:p>
            <w:r/>
            <w:r>
              <w:t>[COMPLETAR: p. ej. continuo / horario]</w:t>
            </w:r>
          </w:p>
        </w:tc>
        <w:tc>
          <w:tcPr>
            <w:tcW w:type="dxa" w:w="1930"/>
          </w:tcPr>
          <w:p>
            <w:r/>
            <w:r>
              <w:t>[COMPLETAR: p. ej. 15 min]</w:t>
            </w:r>
          </w:p>
        </w:tc>
        <w:tc>
          <w:tcPr>
            <w:tcW w:type="dxa" w:w="1930"/>
          </w:tcPr>
          <w:p>
            <w:r/>
            <w:r>
              <w:t>[COMPLETAR: p. ej. 4 h]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Alto</w:t>
            </w:r>
          </w:p>
        </w:tc>
        <w:tc>
          <w:tcPr>
            <w:tcW w:type="dxa" w:w="1930"/>
          </w:tcPr>
          <w:p>
            <w:r/>
            <w:r>
              <w:t>Aplicaciones de negocio, archivos de áreas</w:t>
            </w:r>
          </w:p>
        </w:tc>
        <w:tc>
          <w:tcPr>
            <w:tcW w:type="dxa" w:w="1930"/>
          </w:tcPr>
          <w:p>
            <w:r/>
            <w:r>
              <w:t>Diario</w:t>
            </w:r>
          </w:p>
        </w:tc>
        <w:tc>
          <w:tcPr>
            <w:tcW w:type="dxa" w:w="1930"/>
          </w:tcPr>
          <w:p>
            <w:r/>
            <w:r>
              <w:t>24 h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Medio</w:t>
            </w:r>
          </w:p>
        </w:tc>
        <w:tc>
          <w:tcPr>
            <w:tcW w:type="dxa" w:w="1930"/>
          </w:tcPr>
          <w:p>
            <w:r/>
            <w:r>
              <w:t>Documentación interna</w:t>
            </w:r>
          </w:p>
        </w:tc>
        <w:tc>
          <w:tcPr>
            <w:tcW w:type="dxa" w:w="1930"/>
          </w:tcPr>
          <w:p>
            <w:r/>
            <w:r>
              <w:t>Semanal</w:t>
            </w:r>
          </w:p>
        </w:tc>
        <w:tc>
          <w:tcPr>
            <w:tcW w:type="dxa" w:w="1930"/>
          </w:tcPr>
          <w:p>
            <w:r/>
            <w:r>
              <w:t>7 días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Bajo</w:t>
            </w:r>
          </w:p>
        </w:tc>
        <w:tc>
          <w:tcPr>
            <w:tcW w:type="dxa" w:w="1930"/>
          </w:tcPr>
          <w:p>
            <w:r/>
            <w:r>
              <w:t>Información pública</w:t>
            </w:r>
          </w:p>
        </w:tc>
        <w:tc>
          <w:tcPr>
            <w:tcW w:type="dxa" w:w="1930"/>
          </w:tcPr>
          <w:p>
            <w:r/>
            <w:r>
              <w:t>Mensual</w:t>
            </w:r>
          </w:p>
        </w:tc>
        <w:tc>
          <w:tcPr>
            <w:tcW w:type="dxa" w:w="1930"/>
          </w:tcPr>
          <w:p>
            <w:r/>
            <w:r>
              <w:t>30 días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4. Reglas de respaldo</w:t>
      </w:r>
    </w:p>
    <w:p>
      <w:pPr>
        <w:pStyle w:val="ListBullet"/>
      </w:pPr>
      <w:r>
        <w:t xml:space="preserve">Estrategia </w:t>
      </w:r>
      <w:r>
        <w:rPr>
          <w:b/>
        </w:rPr>
        <w:t>3-2-1</w:t>
      </w:r>
      <w:r>
        <w:t xml:space="preserve"> (mínimo): 3 copias, en 2 medios/soportes distintos, 1 copia </w:t>
      </w:r>
      <w:r>
        <w:rPr>
          <w:b/>
        </w:rPr>
        <w:t>off-site</w:t>
      </w:r>
      <w:r>
        <w:t xml:space="preserve"> (fuera del CPD principal).</w:t>
      </w:r>
    </w:p>
    <w:p>
      <w:pPr>
        <w:pStyle w:val="ListBullet"/>
      </w:pPr>
      <w:r>
        <w:t xml:space="preserve">Los respaldos se </w:t>
      </w:r>
      <w:r>
        <w:rPr>
          <w:b/>
        </w:rPr>
        <w:t>cifran</w:t>
      </w:r>
      <w:r>
        <w:t xml:space="preserve"> (PR-03) y las copias off-site se protegen contra acceso no autorizado.</w:t>
      </w:r>
    </w:p>
    <w:p>
      <w:pPr>
        <w:pStyle w:val="ListBullet"/>
      </w:pPr>
      <w:r>
        <w:rPr>
          <w:b/>
        </w:rPr>
        <w:t>Inmutabilidad/anti-ransomware</w:t>
      </w:r>
      <w:r>
        <w:t xml:space="preserve"> para copias críticas: retención que impida la alteración o borrado por un atacante.</w:t>
      </w:r>
    </w:p>
    <w:p>
      <w:pPr>
        <w:pStyle w:val="ListBullet"/>
      </w:pPr>
      <w:r>
        <w:rPr>
          <w:b/>
        </w:rPr>
        <w:t>Prueba de restauración periódica</w:t>
      </w:r>
      <w:r>
        <w:t>: [COMPLETAR: p. ej. mensual para críticos, trimestral para el resto], documentada.</w:t>
      </w:r>
    </w:p>
    <w:p>
      <w:pPr>
        <w:pStyle w:val="ListBullet"/>
      </w:pPr>
      <w:r>
        <w:t xml:space="preserve">Monitoreo diario del éxito de los respaldos y </w:t>
      </w:r>
      <w:r>
        <w:rPr>
          <w:b/>
        </w:rPr>
        <w:t>alerta ante fallas</w:t>
      </w:r>
      <w:r>
        <w:t xml:space="preserve"> (SIEM/DE-01).</w:t>
      </w:r>
    </w:p>
    <w:p>
      <w:pPr>
        <w:pStyle w:val="ListBullet"/>
      </w:pPr>
      <w:r>
        <w:t xml:space="preserve">Los respaldos que contengan </w:t>
      </w:r>
      <w:r>
        <w:rPr>
          <w:b/>
        </w:rPr>
        <w:t>datos personales</w:t>
      </w:r>
      <w:r>
        <w:t xml:space="preserve"> se gestionan bajo la Ley 18.331 (acceso, retención y eliminación).</w:t>
      </w:r>
    </w:p>
    <w:p>
      <w:pPr>
        <w:pStyle w:val="Heading3"/>
      </w:pPr>
      <w:r>
        <w:rPr>
          <w:color w:val="1F3B63"/>
        </w:rPr>
        <w:t>5. Responsabilidades</w:t>
      </w:r>
    </w:p>
    <w:p>
      <w:pPr>
        <w:pStyle w:val="ListBullet"/>
      </w:pPr>
      <w:r>
        <w:rPr>
          <w:b/>
        </w:rPr>
        <w:t>Div. TI (Respaldos):</w:t>
      </w:r>
      <w:r>
        <w:t xml:space="preserve"> ejecuta, monitorea y prueba.</w:t>
      </w:r>
    </w:p>
    <w:p>
      <w:pPr>
        <w:pStyle w:val="ListBullet"/>
      </w:pPr>
      <w:r>
        <w:rPr>
          <w:b/>
        </w:rPr>
        <w:t>RSI:</w:t>
      </w:r>
      <w:r>
        <w:t xml:space="preserve"> valida el cumplimiento y el cifrado de las copias.</w:t>
      </w:r>
    </w:p>
    <w:p>
      <w:pPr>
        <w:pStyle w:val="ListBullet"/>
      </w:pPr>
      <w:r>
        <w:rPr>
          <w:b/>
        </w:rPr>
        <w:t>Comité de Continuidad (RC):</w:t>
      </w:r>
      <w:r>
        <w:t xml:space="preserve"> revisa RTO/RPO y los ejercicios de recuperación.</w:t>
      </w:r>
    </w:p>
    <w:p>
      <w:pPr>
        <w:pStyle w:val="ListBullet"/>
      </w:pPr>
      <w:r>
        <w:rPr>
          <w:b/>
        </w:rPr>
        <w:t>DPD:</w:t>
      </w:r>
      <w:r>
        <w:t xml:space="preserve"> supervisa los respaldos que contienen datos personales.</w:t>
      </w:r>
    </w:p>
    <w:p>
      <w:pPr>
        <w:pStyle w:val="Heading3"/>
      </w:pPr>
      <w:r>
        <w:rPr>
          <w:color w:val="1F3B63"/>
        </w:rPr>
        <w:t>6. Incumplimiento y revisión</w:t>
      </w:r>
    </w:p>
    <w:p>
      <w:r>
        <w:t xml:space="preserve">Toda falla de respaldo no resuelta se informa como </w:t>
      </w:r>
      <w:r>
        <w:rPr>
          <w:b/>
        </w:rPr>
        <w:t>incidente de continuidad</w:t>
      </w:r>
      <w:r>
        <w:t>. Revisión anual o ante cambios de infraestructura.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Logs de respaldo y pruebas de restauración</w:t>
            </w:r>
          </w:p>
        </w:tc>
        <w:tc>
          <w:tcPr>
            <w:tcW w:type="dxa" w:w="4824"/>
          </w:tcPr>
          <w:p>
            <w:r/>
            <w:r>
              <w:t>PR-05, RC-02</w:t>
            </w:r>
          </w:p>
        </w:tc>
      </w:tr>
      <w:tr>
        <w:tc>
          <w:tcPr>
            <w:tcW w:type="dxa" w:w="4824"/>
          </w:tcPr>
          <w:p>
            <w:r/>
            <w:r>
              <w:t>Objetivos RTO/RPO definidos</w:t>
            </w:r>
          </w:p>
        </w:tc>
        <w:tc>
          <w:tcPr>
            <w:tcW w:type="dxa" w:w="4824"/>
          </w:tcPr>
          <w:p>
            <w:r/>
            <w:r>
              <w:t>BCU-02 (continuidad)</w:t>
            </w:r>
          </w:p>
        </w:tc>
      </w:tr>
      <w:tr>
        <w:tc>
          <w:tcPr>
            <w:tcW w:type="dxa" w:w="4824"/>
          </w:tcPr>
          <w:p>
            <w:r/>
            <w:r>
              <w:t>Cifrado de copias</w:t>
            </w:r>
          </w:p>
        </w:tc>
        <w:tc>
          <w:tcPr>
            <w:tcW w:type="dxa" w:w="4824"/>
          </w:tcPr>
          <w:p>
            <w:r/>
            <w:r>
              <w:t>PR-03</w:t>
            </w:r>
          </w:p>
        </w:tc>
      </w:tr>
      <w:tr>
        <w:tc>
          <w:tcPr>
            <w:tcW w:type="dxa" w:w="4824"/>
          </w:tcPr>
          <w:p>
            <w:r/>
            <w:r>
              <w:t>Ejercicios de recuperación</w:t>
            </w:r>
          </w:p>
        </w:tc>
        <w:tc>
          <w:tcPr>
            <w:tcW w:type="dxa" w:w="4824"/>
          </w:tcPr>
          <w:p>
            <w:r/>
            <w:r>
              <w:t>RC-02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