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VPOL-12 · Information Classification and Protection Policy</w:t>
      </w:r>
    </w:p>
    <w:p>
      <w:pPr>
        <w:ind w:left="432"/>
      </w:pPr>
      <w:r>
        <w:rPr>
          <w:i/>
          <w:color w:val="606060"/>
        </w:rPr>
        <w:t>**Función del MCU 5.0:** Identificar (ID.RA — inventario y clasificación) · Proteger (PR.DS — tratamiento de datos)</w:t>
      </w:r>
    </w:p>
    <w:p>
      <w:pPr>
        <w:ind w:left="432"/>
      </w:pPr>
      <w:r>
        <w:rPr>
          <w:i/>
          <w:color w:val="606060"/>
        </w:rPr>
        <w:t>**ISO/IEC 27001:** A.5.9 (inventario de activos) · A.5.10/5.12/5.13 (clasificación, etiquetado, tratamiento)</w:t>
      </w:r>
    </w:p>
    <w:p>
      <w:pPr>
        <w:ind w:left="432"/>
      </w:pPr>
      <w:r>
        <w:rPr>
          <w:i/>
          <w:color w:val="606060"/>
        </w:rPr>
        <w:t>**BCU:** EMG — identificación de activos y su criticidad para el negocio</w:t>
      </w:r>
    </w:p>
    <w:p>
      <w:pPr>
        <w:ind w:left="432"/>
      </w:pPr>
      <w:r>
        <w:rPr>
          <w:i/>
          <w:color w:val="606060"/>
        </w:rPr>
        <w:t>**URCDP:** Ley 18.331 — los datos personales son un activo con protección reforzada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Information Classification and Protection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DPD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un </w:t>
      </w:r>
      <w:r>
        <w:rPr>
          <w:b/>
        </w:rPr>
        <w:t>esquema de clasificación de la información</w:t>
      </w:r>
      <w:r>
        <w:t xml:space="preserve"> del Banco y definir el </w:t>
      </w:r>
      <w:r>
        <w:rPr>
          <w:b/>
        </w:rPr>
        <w:t>nivel de protección</w:t>
      </w:r>
      <w:r>
        <w:t xml:space="preserve"> que corresponde a cada categoría, de modo que cada activo se trate según su valor y sensibilidad.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toda la información del Banco en cualquier formato: digital (bases de datos, archivos, correos, mensajes, código) y físico (documentos impresos). Aplica también a la información de clientes y terceros bajo custodia del Banco.</w:t>
      </w:r>
    </w:p>
    <w:p>
      <w:pPr>
        <w:pStyle w:val="Heading3"/>
      </w:pPr>
      <w:r>
        <w:rPr>
          <w:color w:val="1F3B63"/>
        </w:rPr>
        <w:t>3. Niveles de clasificación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Etiqueta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Protección mínima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Público</w:t>
            </w:r>
          </w:p>
        </w:tc>
        <w:tc>
          <w:tcPr>
            <w:tcW w:type="dxa" w:w="2412"/>
          </w:tcPr>
          <w:p>
            <w:r/>
            <w:r>
              <w:t>Información de prensa, publicidad</w:t>
            </w:r>
          </w:p>
        </w:tc>
        <w:tc>
          <w:tcPr>
            <w:tcW w:type="dxa" w:w="2412"/>
          </w:tcPr>
          <w:p>
            <w:r/>
            <w:r>
              <w:t>Sin restricciones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Uso interno</w:t>
            </w:r>
          </w:p>
        </w:tc>
        <w:tc>
          <w:tcPr>
            <w:tcW w:type="dxa" w:w="2412"/>
          </w:tcPr>
          <w:p>
            <w:r/>
            <w:r>
              <w:t>Manuales, organigramas, políticas aprobadas</w:t>
            </w:r>
          </w:p>
        </w:tc>
        <w:tc>
          <w:tcPr>
            <w:tcW w:type="dxa" w:w="2412"/>
          </w:tcPr>
          <w:p>
            <w:r/>
            <w:r>
              <w:t>Acceso solo al personal; no divulgación externa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Confidencial</w:t>
            </w:r>
          </w:p>
        </w:tc>
        <w:tc>
          <w:tcPr>
            <w:tcW w:type="dxa" w:w="2412"/>
          </w:tcPr>
          <w:p>
            <w:r/>
            <w:r>
              <w:t>Datos de clientes, información comercial, financiera no pública</w:t>
            </w:r>
          </w:p>
        </w:tc>
        <w:tc>
          <w:tcPr>
            <w:tcW w:type="dxa" w:w="2412"/>
          </w:tcPr>
          <w:p>
            <w:r/>
            <w:r>
              <w:t>Acceso por necesidad; cifrado; mínimo privilegio</w:t>
            </w:r>
          </w:p>
        </w:tc>
      </w:tr>
      <w:tr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Muy confidencial / Secreto</w:t>
            </w:r>
          </w:p>
        </w:tc>
        <w:tc>
          <w:tcPr>
            <w:tcW w:type="dxa" w:w="2412"/>
          </w:tcPr>
          <w:p>
            <w:r/>
            <w:r>
              <w:t>Claves, credenciales, datos de seguridad, fusiones, datos biométricos</w:t>
            </w:r>
          </w:p>
        </w:tc>
        <w:tc>
          <w:tcPr>
            <w:tcW w:type="dxa" w:w="2412"/>
          </w:tcPr>
          <w:p>
            <w:r/>
            <w:r>
              <w:t>Acceso restringido a lista corta; cifrado reforzado; auditoría de accesos</w:t>
            </w:r>
          </w:p>
        </w:tc>
      </w:tr>
    </w:tbl>
    <w:p>
      <w:pPr>
        <w:pStyle w:val="Heading3"/>
      </w:pPr>
      <w:r>
        <w:rPr>
          <w:color w:val="1F3B63"/>
        </w:rPr>
        <w:t>4. Reglas de clasificación y etiquetado</w:t>
      </w:r>
    </w:p>
    <w:p>
      <w:pPr>
        <w:pStyle w:val="ListBullet"/>
      </w:pPr>
      <w:r>
        <w:t xml:space="preserve">El </w:t>
      </w:r>
      <w:r>
        <w:rPr>
          <w:b/>
        </w:rPr>
        <w:t>propietario del activo</w:t>
      </w:r>
      <w:r>
        <w:t xml:space="preserve"> (dueño de negocio) clasifica la información al crearla o recibirla.</w:t>
      </w:r>
    </w:p>
    <w:p>
      <w:pPr>
        <w:pStyle w:val="ListBullet"/>
      </w:pPr>
      <w:r>
        <w:t>Etiquetado en documentos: encabezado/pie con la etiqueta; en correos: asunto y firma.</w:t>
      </w:r>
    </w:p>
    <w:p>
      <w:pPr>
        <w:pStyle w:val="ListBullet"/>
      </w:pPr>
      <w:r>
        <w:rPr>
          <w:b/>
        </w:rPr>
        <w:t>Datos personales</w:t>
      </w:r>
      <w:r>
        <w:t xml:space="preserve"> siempre son como mínimo </w:t>
      </w:r>
      <w:r>
        <w:rPr>
          <w:b/>
        </w:rPr>
        <w:t>Confidencial (nivel 3)</w:t>
      </w:r>
      <w:r>
        <w:t>, sin perjuicio de las reglas especiales de la Ley 18.331.</w:t>
      </w:r>
    </w:p>
    <w:p>
      <w:pPr>
        <w:pStyle w:val="ListBullet"/>
      </w:pPr>
      <w:r>
        <w:t xml:space="preserve">Se re-clasifica (rebaja o sube) según la vigencia, el ciclo de vida o nuevos riesgos; la </w:t>
      </w:r>
      <w:r>
        <w:rPr>
          <w:b/>
        </w:rPr>
        <w:t>eliminación</w:t>
      </w:r>
      <w:r>
        <w:t xml:space="preserve"> segura se rige por la tabla de retención.</w:t>
      </w:r>
    </w:p>
    <w:p>
      <w:pPr>
        <w:pStyle w:val="Heading3"/>
      </w:pPr>
      <w:r>
        <w:rPr>
          <w:color w:val="1F3B63"/>
        </w:rPr>
        <w:t>5. Protección según el nivel</w:t>
      </w:r>
    </w:p>
    <w:p>
      <w:pPr>
        <w:pStyle w:val="ListBullet"/>
      </w:pPr>
      <w:r>
        <w:rPr>
          <w:b/>
        </w:rPr>
        <w:t>Almacenamiento:</w:t>
      </w:r>
      <w:r>
        <w:t xml:space="preserve"> cifrado en reposo para niveles 3 y 4.</w:t>
      </w:r>
    </w:p>
    <w:p>
      <w:pPr>
        <w:pStyle w:val="ListBullet"/>
      </w:pPr>
      <w:r>
        <w:rPr>
          <w:b/>
        </w:rPr>
        <w:t>Transmisión:</w:t>
      </w:r>
      <w:r>
        <w:t xml:space="preserve"> TLS/cifrado en tránsito para niveles 3 y 4; prohibido enviar nivel 4 por correo sin cifrado adicional.</w:t>
      </w:r>
    </w:p>
    <w:p>
      <w:pPr>
        <w:pStyle w:val="ListBullet"/>
      </w:pPr>
      <w:r>
        <w:rPr>
          <w:b/>
        </w:rPr>
        <w:t>Acceso:</w:t>
      </w:r>
      <w:r>
        <w:t xml:space="preserve"> mínimo privilegio y revisión periódica (VPOL-19); </w:t>
      </w:r>
      <w:r>
        <w:rPr>
          <w:b/>
        </w:rPr>
        <w:t>nivel 4 con doble autorización y registro</w:t>
      </w:r>
      <w:r>
        <w:t>.</w:t>
      </w:r>
    </w:p>
    <w:p>
      <w:pPr>
        <w:pStyle w:val="ListBullet"/>
      </w:pPr>
      <w:r>
        <w:rPr>
          <w:b/>
        </w:rPr>
        <w:t>Medios extraíbles:</w:t>
      </w:r>
      <w:r>
        <w:t xml:space="preserve"> pendrives con datos confidenciales </w:t>
      </w:r>
      <w:r>
        <w:rPr>
          <w:b/>
        </w:rPr>
        <w:t>cifrados</w:t>
      </w:r>
      <w:r>
        <w:t xml:space="preserve"> (VPOL-17).</w:t>
      </w:r>
    </w:p>
    <w:p>
      <w:pPr>
        <w:pStyle w:val="ListBullet"/>
      </w:pPr>
      <w:r>
        <w:rPr>
          <w:b/>
        </w:rPr>
        <w:t>Impresión:</w:t>
      </w:r>
      <w:r>
        <w:t xml:space="preserve"> solo impresoras autorizadas; retiro inmediato (VPOL-09).</w:t>
      </w:r>
    </w:p>
    <w:p>
      <w:pPr>
        <w:pStyle w:val="ListBullet"/>
      </w:pPr>
      <w:r>
        <w:rPr>
          <w:b/>
        </w:rPr>
        <w:t>Nube e IA:</w:t>
      </w:r>
      <w:r>
        <w:t xml:space="preserve"> los niveles 3 y 4 </w:t>
      </w:r>
      <w:r>
        <w:rPr>
          <w:b/>
        </w:rPr>
        <w:t>no</w:t>
      </w:r>
      <w:r>
        <w:t xml:space="preserve"> se cargan en servicios externos no autorizados (VPOL-10, VPOL-07).</w:t>
      </w:r>
    </w:p>
    <w:p>
      <w:pPr>
        <w:pStyle w:val="Heading3"/>
      </w:pPr>
      <w:r>
        <w:rPr>
          <w:color w:val="1F3B63"/>
        </w:rPr>
        <w:t>6. Responsabilidades</w:t>
      </w:r>
    </w:p>
    <w:p>
      <w:pPr>
        <w:pStyle w:val="ListBullet"/>
      </w:pPr>
      <w:r>
        <w:rPr>
          <w:b/>
        </w:rPr>
        <w:t>Propietarios de activos:</w:t>
      </w:r>
      <w:r>
        <w:t xml:space="preserve"> clasifican y revisan.</w:t>
      </w:r>
    </w:p>
    <w:p>
      <w:pPr>
        <w:pStyle w:val="ListBullet"/>
      </w:pPr>
      <w:r>
        <w:rPr>
          <w:b/>
        </w:rPr>
        <w:t>RSI:</w:t>
      </w:r>
      <w:r>
        <w:t xml:space="preserve"> mantiene el esquema y resuelve dudas de clasificación.</w:t>
      </w:r>
    </w:p>
    <w:p>
      <w:pPr>
        <w:pStyle w:val="ListBullet"/>
      </w:pPr>
      <w:r>
        <w:rPr>
          <w:b/>
        </w:rPr>
        <w:t>DPD:</w:t>
      </w:r>
      <w:r>
        <w:t xml:space="preserve"> garantiza el tratamiento de los datos personales según la ley.</w:t>
      </w:r>
    </w:p>
    <w:p>
      <w:pPr>
        <w:pStyle w:val="ListBullet"/>
      </w:pPr>
      <w:r>
        <w:rPr>
          <w:b/>
        </w:rPr>
        <w:t>Auditoría:</w:t>
      </w:r>
      <w:r>
        <w:t xml:space="preserve"> verifica etiquetado y tratamiento.</w:t>
      </w:r>
    </w:p>
    <w:p>
      <w:pPr>
        <w:pStyle w:val="Heading3"/>
      </w:pPr>
      <w:r>
        <w:rPr>
          <w:color w:val="1F3B63"/>
        </w:rPr>
        <w:t>7. Cumplimiento y excepciones</w:t>
      </w:r>
    </w:p>
    <w:p>
      <w:r>
        <w:t xml:space="preserve">Clasificar mal (en particular </w:t>
      </w:r>
      <w:r>
        <w:rPr>
          <w:b/>
        </w:rPr>
        <w:t>tratar datos confidenciales como públicos</w:t>
      </w:r>
      <w:r>
        <w:t>) se investiga como incidente de fuga potencial. Revisión anual.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Inventario de activos con clasificación</w:t>
            </w:r>
          </w:p>
        </w:tc>
        <w:tc>
          <w:tcPr>
            <w:tcW w:type="dxa" w:w="4824"/>
          </w:tcPr>
          <w:p>
            <w:r/>
            <w:r>
              <w:t>ID-01</w:t>
            </w:r>
          </w:p>
        </w:tc>
      </w:tr>
      <w:tr>
        <w:tc>
          <w:tcPr>
            <w:tcW w:type="dxa" w:w="4824"/>
          </w:tcPr>
          <w:p>
            <w:r/>
            <w:r>
              <w:t>Esquema de cifrado por nivel</w:t>
            </w:r>
          </w:p>
        </w:tc>
        <w:tc>
          <w:tcPr>
            <w:tcW w:type="dxa" w:w="4824"/>
          </w:tcPr>
          <w:p>
            <w:r/>
            <w:r>
              <w:t>PR-03</w:t>
            </w:r>
          </w:p>
        </w:tc>
      </w:tr>
      <w:tr>
        <w:tc>
          <w:tcPr>
            <w:tcW w:type="dxa" w:w="4824"/>
          </w:tcPr>
          <w:p>
            <w:r/>
            <w:r>
              <w:t>Tratamiento de datos personales</w:t>
            </w:r>
          </w:p>
        </w:tc>
        <w:tc>
          <w:tcPr>
            <w:tcW w:type="dxa" w:w="4824"/>
          </w:tcPr>
          <w:p>
            <w:r/>
            <w:r>
              <w:t>URCDP-01</w:t>
            </w:r>
          </w:p>
        </w:tc>
      </w:tr>
      <w:tr>
        <w:tc>
          <w:tcPr>
            <w:tcW w:type="dxa" w:w="4824"/>
          </w:tcPr>
          <w:p>
            <w:r/>
            <w:r>
              <w:t>Matriz de clasificación</w:t>
            </w:r>
          </w:p>
        </w:tc>
        <w:tc>
          <w:tcPr>
            <w:tcW w:type="dxa" w:w="4824"/>
          </w:tcPr>
          <w:p>
            <w:r/>
            <w:r>
              <w:t>ID-01 / GV-03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