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VPOL-13 · Information Security Policy (Política Madre)</w:t>
      </w:r>
    </w:p>
    <w:p>
      <w:pPr>
        <w:ind w:left="432"/>
      </w:pPr>
      <w:r>
        <w:rPr>
          <w:i/>
          <w:color w:val="606060"/>
        </w:rPr>
        <w:t>**Función del MCU 5.0:** Gobernar (GV.OR — el marco normativo nace aquí) · todas las demás funciones dependen de ella</w:t>
      </w:r>
    </w:p>
    <w:p>
      <w:pPr>
        <w:ind w:left="432"/>
      </w:pPr>
      <w:r>
        <w:rPr>
          <w:i/>
          <w:color w:val="606060"/>
        </w:rPr>
        <w:t>**ISO/IEC 27001:** Cláusula 5.2 (política de seguridad de la información) · A.5.1 · A.5.2 (revisión)</w:t>
      </w:r>
    </w:p>
    <w:p>
      <w:pPr>
        <w:ind w:left="432"/>
      </w:pPr>
      <w:r>
        <w:rPr>
          <w:i/>
          <w:color w:val="606060"/>
        </w:rPr>
        <w:t>**BCU:** EMG — gobierno de la seguridad; la política general es la base del marco de gestión</w:t>
      </w:r>
    </w:p>
    <w:p>
      <w:pPr>
        <w:ind w:left="432"/>
      </w:pPr>
      <w:r>
        <w:rPr>
          <w:i/>
          <w:color w:val="606060"/>
        </w:rPr>
        <w:t>**URCDP:** Ley 18.331 art. 10 — compromiso de medidas de seguridad organizativas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Information Security Policy (Política Madre)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Alta Dirección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 / Alta Dirección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el </w:t>
      </w:r>
      <w:r>
        <w:rPr>
          <w:b/>
        </w:rPr>
        <w:t>compromiso de la Dirección</w:t>
      </w:r>
      <w:r>
        <w:t xml:space="preserve"> con la seguridad de la información y el marco general que rige las políticas, procesos y controles de seguridad del Banco Ficticio del Uruguay, en línea con las normas uruguayas y las mejores prácticas.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</w:t>
      </w:r>
      <w:r>
        <w:rPr>
          <w:b/>
        </w:rPr>
        <w:t>todas</w:t>
      </w:r>
      <w:r>
        <w:t xml:space="preserve"> las áreas, procesos, activos, sistemas, personas (personal, proveedores, consultores) e información del Banco, y a las terceras partes que accedan a su información.</w:t>
      </w:r>
    </w:p>
    <w:p>
      <w:pPr>
        <w:pStyle w:val="Heading3"/>
      </w:pPr>
      <w:r>
        <w:rPr>
          <w:color w:val="1F3B63"/>
        </w:rPr>
        <w:t>3. Declaración de la Dirección</w:t>
      </w:r>
    </w:p>
    <w:p>
      <w:r>
        <w:t>La Dirección del Banco se compromete a:</w:t>
      </w:r>
    </w:p>
    <w:p>
      <w:pPr>
        <w:pStyle w:val="ListBullet"/>
      </w:pPr>
      <w:r>
        <w:t xml:space="preserve">Proteger la </w:t>
      </w:r>
      <w:r>
        <w:rPr>
          <w:b/>
        </w:rPr>
        <w:t>confidencialidad, integridad y disponibilidad</w:t>
      </w:r>
      <w:r>
        <w:t xml:space="preserve"> de la información y los activos.</w:t>
      </w:r>
    </w:p>
    <w:p>
      <w:pPr>
        <w:pStyle w:val="ListBullet"/>
      </w:pPr>
      <w:r>
        <w:t xml:space="preserve">Cumplir la normativa uruguaya aplicable: </w:t>
      </w:r>
      <w:r>
        <w:rPr>
          <w:b/>
        </w:rPr>
        <w:t>Agesic (MCU 5.0)</w:t>
      </w:r>
      <w:r>
        <w:t xml:space="preserve">, </w:t>
      </w:r>
      <w:r>
        <w:rPr>
          <w:b/>
        </w:rPr>
        <w:t>BCU (EMG)</w:t>
      </w:r>
      <w:r>
        <w:t xml:space="preserve"> y </w:t>
      </w:r>
      <w:r>
        <w:rPr>
          <w:b/>
        </w:rPr>
        <w:t>URCDP (Ley 18.331)</w:t>
      </w:r>
      <w:r>
        <w:t>.</w:t>
      </w:r>
    </w:p>
    <w:p>
      <w:pPr>
        <w:pStyle w:val="ListBullet"/>
      </w:pPr>
      <w:r>
        <w:t xml:space="preserve">Mantener un </w:t>
      </w:r>
      <w:r>
        <w:rPr>
          <w:b/>
        </w:rPr>
        <w:t>Sistema de Gestión de Seguridad de la Información (SGSI)</w:t>
      </w:r>
      <w:r>
        <w:t xml:space="preserve"> alineado a </w:t>
      </w:r>
      <w:r>
        <w:rPr>
          <w:b/>
        </w:rPr>
        <w:t>ISO/IEC 27001</w:t>
      </w:r>
      <w:r>
        <w:t>.</w:t>
      </w:r>
    </w:p>
    <w:p>
      <w:pPr>
        <w:pStyle w:val="ListBullet"/>
      </w:pPr>
      <w:r>
        <w:t xml:space="preserve">Asignar </w:t>
      </w:r>
      <w:r>
        <w:rPr>
          <w:b/>
        </w:rPr>
        <w:t>recursos</w:t>
      </w:r>
      <w:r>
        <w:t xml:space="preserve"> (presupuesto, personal, herramientas) para la seguridad.</w:t>
      </w:r>
    </w:p>
    <w:p>
      <w:pPr>
        <w:pStyle w:val="ListBullet"/>
      </w:pPr>
      <w:r>
        <w:t xml:space="preserve">Promover la </w:t>
      </w:r>
      <w:r>
        <w:rPr>
          <w:b/>
        </w:rPr>
        <w:t>cultura de seguridad</w:t>
      </w:r>
      <w:r>
        <w:t xml:space="preserve"> mediante concientización y capacitación continua (PR-02).</w:t>
      </w:r>
    </w:p>
    <w:p>
      <w:pPr>
        <w:pStyle w:val="ListBullet"/>
      </w:pPr>
      <w:r>
        <w:rPr>
          <w:b/>
        </w:rPr>
        <w:t>Gestionar el riesgo</w:t>
      </w:r>
      <w:r>
        <w:t xml:space="preserve"> de forma continua y aceptar el riesgo residual de manera informada (GV-03).</w:t>
      </w:r>
    </w:p>
    <w:p>
      <w:pPr>
        <w:pStyle w:val="ListBullet"/>
      </w:pPr>
      <w:r>
        <w:rPr>
          <w:b/>
        </w:rPr>
        <w:t>Notificar</w:t>
      </w:r>
      <w:r>
        <w:t xml:space="preserve"> a los organismos competentes (URCDP, BCU) los incidentes que corresponda (RS-01).</w:t>
      </w:r>
    </w:p>
    <w:p>
      <w:pPr>
        <w:pStyle w:val="Heading3"/>
      </w:pPr>
      <w:r>
        <w:rPr>
          <w:color w:val="1F3B63"/>
        </w:rPr>
        <w:t>4. Estructura normativa del SGSI (jerarquía)</w:t>
      </w:r>
    </w:p>
    <w:p>
      <w:pPr>
        <w:pStyle w:val="ListNumber"/>
      </w:pPr>
      <w:r>
        <w:rPr>
          <w:b/>
        </w:rPr>
        <w:t>Esta política madre</w:t>
      </w:r>
      <w:r>
        <w:t xml:space="preserve"> (VPOL-13) — la de mayor nivel.</w:t>
      </w:r>
    </w:p>
    <w:p>
      <w:pPr>
        <w:pStyle w:val="ListNumber"/>
      </w:pPr>
      <w:r>
        <w:rPr>
          <w:b/>
        </w:rPr>
        <w:t>Políticas específicas</w:t>
      </w:r>
      <w:r>
        <w:t xml:space="preserve"> (VPOL-06…VPOL-20) y documentos del kit </w:t>
      </w:r>
      <w:r>
        <w:rPr>
          <w:rFonts w:ascii="Consolas" w:hAnsi="Consolas"/>
          <w:sz w:val="20"/>
        </w:rPr>
        <w:t>02-ENTREGABLES/</w:t>
      </w:r>
      <w:r>
        <w:t xml:space="preserve"> (GV-01, PR-01…PR-08, RS-01…).</w:t>
      </w:r>
    </w:p>
    <w:p>
      <w:pPr>
        <w:pStyle w:val="ListNumber"/>
      </w:pPr>
      <w:r>
        <w:rPr>
          <w:b/>
        </w:rPr>
        <w:t>Normas y procedimientos operativos</w:t>
      </w:r>
      <w:r>
        <w:t xml:space="preserve"> (procesos, configuraciones).</w:t>
      </w:r>
    </w:p>
    <w:p>
      <w:pPr>
        <w:pStyle w:val="ListNumber"/>
      </w:pPr>
      <w:r>
        <w:rPr>
          <w:b/>
        </w:rPr>
        <w:t>Registros y evidencias</w:t>
      </w:r>
      <w:r>
        <w:t xml:space="preserve"> (logs, actas, reportes).</w:t>
      </w:r>
    </w:p>
    <w:p>
      <w:pPr>
        <w:pStyle w:val="Heading3"/>
      </w:pPr>
      <w:r>
        <w:rPr>
          <w:color w:val="1F3B63"/>
        </w:rPr>
        <w:t>5. Gobierno de la seguridad</w:t>
      </w:r>
    </w:p>
    <w:p>
      <w:pPr>
        <w:pStyle w:val="ListBullet"/>
      </w:pPr>
      <w:r>
        <w:rPr>
          <w:b/>
        </w:rPr>
        <w:t>Comité de Seguridad de la Información:</w:t>
      </w:r>
      <w:r>
        <w:t xml:space="preserve"> define, revisa y aprueba las políticas; supervisa el SGSI.</w:t>
      </w:r>
    </w:p>
    <w:p>
      <w:pPr>
        <w:pStyle w:val="ListBullet"/>
      </w:pPr>
      <w:r>
        <w:rPr>
          <w:b/>
        </w:rPr>
        <w:t>RSI:</w:t>
      </w:r>
      <w:r>
        <w:t xml:space="preserve"> ejecuta el SGSI en el día a día.</w:t>
      </w:r>
    </w:p>
    <w:p>
      <w:pPr>
        <w:pStyle w:val="ListBullet"/>
      </w:pPr>
      <w:r>
        <w:rPr>
          <w:b/>
        </w:rPr>
        <w:t>DPD:</w:t>
      </w:r>
      <w:r>
        <w:t xml:space="preserve"> supervisa el tratamiento de datos personales.</w:t>
      </w:r>
    </w:p>
    <w:p>
      <w:pPr>
        <w:pStyle w:val="ListBullet"/>
      </w:pPr>
      <w:r>
        <w:rPr>
          <w:b/>
        </w:rPr>
        <w:t>Comité de Riesgos:</w:t>
      </w:r>
      <w:r>
        <w:t xml:space="preserve"> integra el riesgo tecnológico al riesgo global.</w:t>
      </w:r>
    </w:p>
    <w:p>
      <w:pPr>
        <w:pStyle w:val="ListBullet"/>
      </w:pPr>
      <w:r>
        <w:rPr>
          <w:b/>
        </w:rPr>
        <w:t>Auditoría Interna:</w:t>
      </w:r>
      <w:r>
        <w:t xml:space="preserve"> evalúa la eficacia del SGSI (independencia).</w:t>
      </w:r>
    </w:p>
    <w:p>
      <w:pPr>
        <w:pStyle w:val="Heading3"/>
      </w:pPr>
      <w:r>
        <w:rPr>
          <w:color w:val="1F3B63"/>
        </w:rPr>
        <w:t>6. Gestión del riesgo</w:t>
      </w:r>
    </w:p>
    <w:p>
      <w:pPr>
        <w:pStyle w:val="ListBullet"/>
      </w:pPr>
      <w:r>
        <w:t xml:space="preserve">La seguridad se basa en </w:t>
      </w:r>
      <w:r>
        <w:rPr>
          <w:b/>
        </w:rPr>
        <w:t>gestión de riesgos</w:t>
      </w:r>
      <w:r>
        <w:t xml:space="preserve"> (identificar → evaluar → tratar → monitorear), no en una lista de controles fijos (GV-03, ID-02).</w:t>
      </w:r>
    </w:p>
    <w:p>
      <w:pPr>
        <w:pStyle w:val="ListBullet"/>
      </w:pPr>
      <w:r>
        <w:t xml:space="preserve">El </w:t>
      </w:r>
      <w:r>
        <w:rPr>
          <w:b/>
        </w:rPr>
        <w:t>riesgo residual</w:t>
      </w:r>
      <w:r>
        <w:t xml:space="preserve"> se acepta formalmente por el nivel jerárquico correspondiente.</w:t>
      </w:r>
    </w:p>
    <w:p>
      <w:pPr>
        <w:pStyle w:val="Heading3"/>
      </w:pPr>
      <w:r>
        <w:rPr>
          <w:color w:val="1F3B63"/>
        </w:rPr>
        <w:t>7. Cumplimiento</w:t>
      </w:r>
    </w:p>
    <w:p>
      <w:pPr>
        <w:pStyle w:val="ListBullet"/>
      </w:pPr>
      <w:r>
        <w:t xml:space="preserve">Toda política del SGSI es </w:t>
      </w:r>
      <w:r>
        <w:rPr>
          <w:b/>
        </w:rPr>
        <w:t>obligatoria</w:t>
      </w:r>
      <w:r>
        <w:t>. El incumplimiento puede derivar en medidas disciplinarias, y en delitos informáticos (Ley 19.223) en denuncia.</w:t>
      </w:r>
    </w:p>
    <w:p>
      <w:pPr>
        <w:pStyle w:val="ListBullet"/>
      </w:pPr>
      <w:r>
        <w:t xml:space="preserve">Las </w:t>
      </w:r>
      <w:r>
        <w:rPr>
          <w:b/>
        </w:rPr>
        <w:t>excepciones</w:t>
      </w:r>
      <w:r>
        <w:t xml:space="preserve"> se autorizan por el RSI/Comité con plazo definido.</w:t>
      </w:r>
    </w:p>
    <w:p>
      <w:pPr>
        <w:pStyle w:val="Heading3"/>
      </w:pPr>
      <w:r>
        <w:rPr>
          <w:color w:val="1F3B63"/>
        </w:rPr>
        <w:t>8. Revisión</w:t>
      </w:r>
    </w:p>
    <w:p>
      <w:r>
        <w:t xml:space="preserve">Esta política se revisa </w:t>
      </w:r>
      <w:r>
        <w:rPr>
          <w:b/>
        </w:rPr>
        <w:t>anualmente</w:t>
      </w:r>
      <w:r>
        <w:t xml:space="preserve"> o ante cambios significativos (normativa, estructura, negocio, incidentes mayores).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Política aprobada por el Directorio</w:t>
            </w:r>
          </w:p>
        </w:tc>
        <w:tc>
          <w:tcPr>
            <w:tcW w:type="dxa" w:w="4824"/>
          </w:tcPr>
          <w:p>
            <w:r/>
            <w:r>
              <w:t>GV-01</w:t>
            </w:r>
          </w:p>
        </w:tc>
      </w:tr>
      <w:tr>
        <w:tc>
          <w:tcPr>
            <w:tcW w:type="dxa" w:w="4824"/>
          </w:tcPr>
          <w:p>
            <w:r/>
            <w:r>
              <w:t>Acta del Comité de Seguridad</w:t>
            </w:r>
          </w:p>
        </w:tc>
        <w:tc>
          <w:tcPr>
            <w:tcW w:type="dxa" w:w="4824"/>
          </w:tcPr>
          <w:p>
            <w:r/>
            <w:r>
              <w:t>GV-06</w:t>
            </w:r>
          </w:p>
        </w:tc>
      </w:tr>
      <w:tr>
        <w:tc>
          <w:tcPr>
            <w:tcW w:type="dxa" w:w="4824"/>
          </w:tcPr>
          <w:p>
            <w:r/>
            <w:r>
              <w:t>Análisis de riesgos</w:t>
            </w:r>
          </w:p>
        </w:tc>
        <w:tc>
          <w:tcPr>
            <w:tcW w:type="dxa" w:w="4824"/>
          </w:tcPr>
          <w:p>
            <w:r/>
            <w:r>
              <w:t>GV-03, ID-02</w:t>
            </w:r>
          </w:p>
        </w:tc>
      </w:tr>
      <w:tr>
        <w:tc>
          <w:tcPr>
            <w:tcW w:type="dxa" w:w="4824"/>
          </w:tcPr>
          <w:p>
            <w:r/>
            <w:r>
              <w:t>Plan de tratamiento</w:t>
            </w:r>
          </w:p>
        </w:tc>
        <w:tc>
          <w:tcPr>
            <w:tcW w:type="dxa" w:w="4824"/>
          </w:tcPr>
          <w:p>
            <w:r/>
            <w:r>
              <w:t>ID-05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