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VPOL-14 · Logging and Monitoring Policy</w:t>
      </w:r>
    </w:p>
    <w:p>
      <w:pPr>
        <w:ind w:left="432"/>
      </w:pPr>
      <w:r>
        <w:rPr>
          <w:i/>
          <w:color w:val="606060"/>
        </w:rPr>
        <w:t>**Función del MCU 5.0:** Detectar (DE.AE — análisis; DE.CM — monitoreo continuo)</w:t>
      </w:r>
    </w:p>
    <w:p>
      <w:pPr>
        <w:ind w:left="432"/>
      </w:pPr>
      <w:r>
        <w:rPr>
          <w:i/>
          <w:color w:val="606060"/>
        </w:rPr>
        <w:t>**ISO/IEC 27001:** A.8.15 (registro de actividad) · A.8.16 (gestión de eventos) · A.8.17 (protección de logs)</w:t>
      </w:r>
    </w:p>
    <w:p>
      <w:pPr>
        <w:ind w:left="432"/>
      </w:pPr>
      <w:r>
        <w:rPr>
          <w:i/>
          <w:color w:val="606060"/>
        </w:rPr>
        <w:t>**BCU:** EMG — detección y trazabilidad; los registros son evidencia ante el BCU</w:t>
      </w:r>
    </w:p>
    <w:p>
      <w:pPr>
        <w:ind w:left="432"/>
      </w:pPr>
      <w:r>
        <w:rPr>
          <w:i/>
          <w:color w:val="606060"/>
        </w:rPr>
        <w:t>**URCDP:** Ley 18.331 art. 10 y art. 27-bis — los logs permiten detectar y notificar vulneraciones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Logging and Monitoring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Operaciones de Seguridad (SOC)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qué eventos se </w:t>
      </w:r>
      <w:r>
        <w:rPr>
          <w:b/>
        </w:rPr>
        <w:t>registran, conservan y analizan</w:t>
      </w:r>
      <w:r>
        <w:t xml:space="preserve"> en los sistemas del Banco, para </w:t>
      </w:r>
      <w:r>
        <w:rPr>
          <w:b/>
        </w:rPr>
        <w:t>detectar</w:t>
      </w:r>
      <w:r>
        <w:t xml:space="preserve"> incidentes, </w:t>
      </w:r>
      <w:r>
        <w:rPr>
          <w:b/>
        </w:rPr>
        <w:t>investigar</w:t>
      </w:r>
      <w:r>
        <w:t xml:space="preserve"> los ocurridos, </w:t>
      </w:r>
      <w:r>
        <w:rPr>
          <w:b/>
        </w:rPr>
        <w:t>demostrar</w:t>
      </w:r>
      <w:r>
        <w:t xml:space="preserve"> el cumplimiento normativo y </w:t>
      </w:r>
      <w:r>
        <w:rPr>
          <w:b/>
        </w:rPr>
        <w:t>mejorar</w:t>
      </w:r>
      <w:r>
        <w:t xml:space="preserve"> la seguridad de forma continua.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los sistemas que generan registros de seguridad: sistemas operativos, aplicaciones (core, Banco En Línea, pagos), bases de datos, equipos de red, firewalls/WAF, servidores de correo, SIEM, accesos (físicos y lógicos) y servicios en nube.</w:t>
      </w:r>
    </w:p>
    <w:p>
      <w:pPr>
        <w:pStyle w:val="Heading3"/>
      </w:pPr>
      <w:r>
        <w:rPr>
          <w:color w:val="1F3B63"/>
        </w:rPr>
        <w:t>3. Qué se registra (mínimo)</w:t>
      </w:r>
    </w:p>
    <w:p>
      <w:pPr>
        <w:pStyle w:val="ListBullet"/>
      </w:pPr>
      <w:r>
        <w:rPr>
          <w:b/>
        </w:rPr>
        <w:t>Accesos:</w:t>
      </w:r>
      <w:r>
        <w:t xml:space="preserve"> intentos exitosos y fallidos (inicio de sesión, cierre, cambios de contraseña), cuentas administradoras/privilegiadas.</w:t>
      </w:r>
    </w:p>
    <w:p>
      <w:pPr>
        <w:pStyle w:val="ListBullet"/>
      </w:pPr>
      <w:r>
        <w:rPr>
          <w:b/>
        </w:rPr>
        <w:t>Autenticación y autorización:</w:t>
      </w:r>
      <w:r>
        <w:t xml:space="preserve"> MFA, uso de tokens, cambios de permisos.</w:t>
      </w:r>
    </w:p>
    <w:p>
      <w:pPr>
        <w:pStyle w:val="ListBullet"/>
      </w:pPr>
      <w:r>
        <w:rPr>
          <w:b/>
        </w:rPr>
        <w:t>Cambios de configuración</w:t>
      </w:r>
      <w:r>
        <w:t xml:space="preserve"> en equipos de seguridad y sistemas críticos.</w:t>
      </w:r>
    </w:p>
    <w:p>
      <w:pPr>
        <w:pStyle w:val="ListBullet"/>
      </w:pPr>
      <w:r>
        <w:rPr>
          <w:b/>
        </w:rPr>
        <w:t>Operaciones sensibles:</w:t>
      </w:r>
      <w:r>
        <w:t xml:space="preserve"> transferencias, altas/bajas de usuarios, accesos a datos de clientes.</w:t>
      </w:r>
    </w:p>
    <w:p>
      <w:pPr>
        <w:pStyle w:val="ListBullet"/>
      </w:pPr>
      <w:r>
        <w:rPr>
          <w:b/>
        </w:rPr>
        <w:t>Fugas de tráfico/reglas de firewall</w:t>
      </w:r>
      <w:r>
        <w:t xml:space="preserve"> bloqueadas (denegaciones), ataques web bloqueados por el WAF.</w:t>
      </w:r>
    </w:p>
    <w:p>
      <w:pPr>
        <w:pStyle w:val="ListBullet"/>
      </w:pPr>
      <w:r>
        <w:rPr>
          <w:b/>
        </w:rPr>
        <w:t>Eventos de malware/EDR y alertas del antivirus.</w:t>
      </w:r>
    </w:p>
    <w:p>
      <w:pPr>
        <w:pStyle w:val="ListBullet"/>
      </w:pPr>
      <w:r>
        <w:rPr>
          <w:b/>
        </w:rPr>
        <w:t>Logs de aplicaciones críticas</w:t>
      </w:r>
      <w:r>
        <w:t xml:space="preserve"> y de base de datos (consultas a datos personales).</w:t>
      </w:r>
    </w:p>
    <w:p>
      <w:pPr>
        <w:pStyle w:val="Heading3"/>
      </w:pPr>
      <w:r>
        <w:rPr>
          <w:color w:val="1F3B63"/>
        </w:rPr>
        <w:t>4. Protección de los registros</w:t>
      </w:r>
    </w:p>
    <w:p>
      <w:pPr>
        <w:pStyle w:val="ListBullet"/>
      </w:pPr>
      <w:r>
        <w:rPr>
          <w:b/>
        </w:rPr>
        <w:t>Integridad:</w:t>
      </w:r>
      <w:r>
        <w:t xml:space="preserve"> logs </w:t>
      </w:r>
      <w:r>
        <w:rPr>
          <w:b/>
        </w:rPr>
        <w:t>inalterables</w:t>
      </w:r>
      <w:r>
        <w:t xml:space="preserve"> (append-only, sellado de tiempo, traslado a un destino protegido).</w:t>
      </w:r>
    </w:p>
    <w:p>
      <w:pPr>
        <w:pStyle w:val="ListBullet"/>
      </w:pPr>
      <w:r>
        <w:rPr>
          <w:b/>
        </w:rPr>
        <w:t>Conservación:</w:t>
      </w:r>
      <w:r>
        <w:t xml:space="preserve"> [COMPLETAR: p. ej. mínimo 6 meses en línea y 24 meses archivados], según requisitos del BCU y la URCDP.</w:t>
      </w:r>
    </w:p>
    <w:p>
      <w:pPr>
        <w:pStyle w:val="ListBullet"/>
      </w:pPr>
      <w:r>
        <w:rPr>
          <w:b/>
        </w:rPr>
        <w:t>Acceso restringido:</w:t>
      </w:r>
      <w:r>
        <w:t xml:space="preserve"> solo el SOC y el RSI leen logs; las cuentas de lectura se auditan.</w:t>
      </w:r>
    </w:p>
    <w:p>
      <w:pPr>
        <w:pStyle w:val="ListBullet"/>
      </w:pPr>
      <w:r>
        <w:rPr>
          <w:b/>
        </w:rPr>
        <w:t>Centralización:</w:t>
      </w:r>
      <w:r>
        <w:t xml:space="preserve"> los logs se remiten al </w:t>
      </w:r>
      <w:r>
        <w:rPr>
          <w:b/>
        </w:rPr>
        <w:t>SIEM (Wazuh)</w:t>
      </w:r>
      <w:r>
        <w:t xml:space="preserve"> para correlación y alertas (DE-01).</w:t>
      </w:r>
    </w:p>
    <w:p>
      <w:pPr>
        <w:pStyle w:val="ListBullet"/>
      </w:pPr>
      <w:r>
        <w:rPr>
          <w:b/>
        </w:rPr>
        <w:t>Reloj sincronizado</w:t>
      </w:r>
      <w:r>
        <w:t xml:space="preserve"> (NTP) en todas las fuentes para una correlación fiable.</w:t>
      </w:r>
    </w:p>
    <w:p>
      <w:pPr>
        <w:pStyle w:val="Heading3"/>
      </w:pPr>
      <w:r>
        <w:rPr>
          <w:color w:val="1F3B63"/>
        </w:rPr>
        <w:t>5. Monitoreo y respuesta</w:t>
      </w:r>
    </w:p>
    <w:p>
      <w:pPr>
        <w:pStyle w:val="ListBullet"/>
      </w:pPr>
      <w:r>
        <w:t xml:space="preserve">El SOC monitorea las alertas del SIEM con </w:t>
      </w:r>
      <w:r>
        <w:rPr>
          <w:b/>
        </w:rPr>
        <w:t>prioridades</w:t>
      </w:r>
      <w:r>
        <w:t xml:space="preserve"> (crítico: respuesta inmediata).</w:t>
      </w:r>
    </w:p>
    <w:p>
      <w:pPr>
        <w:pStyle w:val="ListBullet"/>
      </w:pPr>
      <w:r>
        <w:rPr>
          <w:b/>
        </w:rPr>
        <w:t>Casos de uso</w:t>
      </w:r>
      <w:r>
        <w:t xml:space="preserve"> prioritarios: accesos anómalos (hora, lugar), múltiples fallas de login (fuerza bruta), escaladas de privilegios, movimiento lateral, exfiltración de datos (DLP).</w:t>
      </w:r>
    </w:p>
    <w:p>
      <w:pPr>
        <w:pStyle w:val="ListBullet"/>
      </w:pPr>
      <w:r>
        <w:t xml:space="preserve">Toda alerta confirmada se registra como </w:t>
      </w:r>
      <w:r>
        <w:rPr>
          <w:b/>
        </w:rPr>
        <w:t>incidente</w:t>
      </w:r>
      <w:r>
        <w:t xml:space="preserve"> y sigue el plan RS-01.</w:t>
      </w:r>
    </w:p>
    <w:p>
      <w:pPr>
        <w:pStyle w:val="ListBullet"/>
      </w:pPr>
      <w:r>
        <w:t xml:space="preserve">Revisión de logs </w:t>
      </w:r>
      <w:r>
        <w:rPr>
          <w:b/>
        </w:rPr>
        <w:t>quincenal</w:t>
      </w:r>
      <w:r>
        <w:t xml:space="preserve"> de las cuentas privilegiadas (o al menos mensual) con evidencia.</w:t>
      </w:r>
    </w:p>
    <w:p>
      <w:pPr>
        <w:pStyle w:val="Heading3"/>
      </w:pPr>
      <w:r>
        <w:rPr>
          <w:color w:val="1F3B63"/>
        </w:rPr>
        <w:t>6. Privacidad y datos personales</w:t>
      </w:r>
    </w:p>
    <w:p>
      <w:pPr>
        <w:pStyle w:val="ListBullet"/>
      </w:pPr>
      <w:r>
        <w:t>El monitoreo de comunicaciones y accesos de empleados se realiza conforme a la Ley 18.331, con finalidad legítima (protección de la información) e información previa a los empleados (VPOL-06).</w:t>
      </w:r>
    </w:p>
    <w:p>
      <w:pPr>
        <w:pStyle w:val="ListBullet"/>
      </w:pPr>
      <w:r>
        <w:t>Los logs que contengan datos personales (p. ej. accesos a clientes) se tratan bajo la política de retención y eliminación segura.</w:t>
      </w:r>
    </w:p>
    <w:p>
      <w:pPr>
        <w:pStyle w:val="Heading3"/>
      </w:pPr>
      <w:r>
        <w:rPr>
          <w:color w:val="1F3B63"/>
        </w:rPr>
        <w:t>7. Cumplimiento y revisión</w:t>
      </w:r>
    </w:p>
    <w:p>
      <w:r>
        <w:t xml:space="preserve">La falta de logs o su alteración en sistemas críticos se trata como </w:t>
      </w:r>
      <w:r>
        <w:rPr>
          <w:b/>
        </w:rPr>
        <w:t>incidente grave</w:t>
      </w:r>
      <w:r>
        <w:t xml:space="preserve"> y puede configurar obstrucción de auditorías. Revisión anual.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SIEM Wazuh y casos de uso</w:t>
            </w:r>
          </w:p>
        </w:tc>
        <w:tc>
          <w:tcPr>
            <w:tcW w:type="dxa" w:w="4824"/>
          </w:tcPr>
          <w:p>
            <w:r/>
            <w:r>
              <w:t>DE-01, DE-02</w:t>
            </w:r>
          </w:p>
        </w:tc>
      </w:tr>
      <w:tr>
        <w:tc>
          <w:tcPr>
            <w:tcW w:type="dxa" w:w="4824"/>
          </w:tcPr>
          <w:p>
            <w:r/>
            <w:r>
              <w:t>Procedimiento de respuesta a alertas</w:t>
            </w:r>
          </w:p>
        </w:tc>
        <w:tc>
          <w:tcPr>
            <w:tcW w:type="dxa" w:w="4824"/>
          </w:tcPr>
          <w:p>
            <w:r/>
            <w:r>
              <w:t>RS-01</w:t>
            </w:r>
          </w:p>
        </w:tc>
      </w:tr>
      <w:tr>
        <w:tc>
          <w:tcPr>
            <w:tcW w:type="dxa" w:w="4824"/>
          </w:tcPr>
          <w:p>
            <w:r/>
            <w:r>
              <w:t>Política de retención de logs</w:t>
            </w:r>
          </w:p>
        </w:tc>
        <w:tc>
          <w:tcPr>
            <w:tcW w:type="dxa" w:w="4824"/>
          </w:tcPr>
          <w:p>
            <w:r/>
            <w:r>
              <w:t>URCDP-01 (retención)</w:t>
            </w:r>
          </w:p>
        </w:tc>
      </w:tr>
      <w:tr>
        <w:tc>
          <w:tcPr>
            <w:tcW w:type="dxa" w:w="4824"/>
          </w:tcPr>
          <w:p>
            <w:r/>
            <w:r>
              <w:t>Revisión de cuentas privilegiadas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