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VPOL-15 · Network Security Policy</w:t>
      </w:r>
    </w:p>
    <w:p>
      <w:pPr>
        <w:ind w:left="432"/>
      </w:pPr>
      <w:r>
        <w:rPr>
          <w:i/>
          <w:color w:val="606060"/>
        </w:rPr>
        <w:t>**Función del MCU 5.0:** Proteger (PR.AC — control de acceso a la red; PR.PS — seguridad de plataformas) · Detectar</w:t>
      </w:r>
    </w:p>
    <w:p>
      <w:pPr>
        <w:ind w:left="432"/>
      </w:pPr>
      <w:r>
        <w:rPr>
          <w:i/>
          <w:color w:val="606060"/>
        </w:rPr>
        <w:t>**ISO/IEC 27001:** A.8.20/8.21/8.22 (seguridad de redes) · A.8.23 (segregación) · A.8.26 (seguridad en desarrollo) · A.8.27</w:t>
      </w:r>
    </w:p>
    <w:p>
      <w:pPr>
        <w:ind w:left="432"/>
      </w:pPr>
      <w:r>
        <w:rPr>
          <w:i/>
          <w:color w:val="606060"/>
        </w:rPr>
        <w:t>**BCU:** EMG y Circular 2280 — protección de la red del sistema de pagos; segregación y control de perímetro</w:t>
      </w:r>
    </w:p>
    <w:p>
      <w:pPr>
        <w:ind w:left="432"/>
      </w:pPr>
      <w:r>
        <w:rPr>
          <w:i/>
          <w:color w:val="606060"/>
        </w:rPr>
        <w:t>**URCDP:** Ley 18.331 art. 10 — medidas técnicas de seguridad en el transporte y almacenamiento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Network Security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Div. TI (Redes)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cómo se </w:t>
      </w:r>
      <w:r>
        <w:rPr>
          <w:b/>
        </w:rPr>
        <w:t>diseña, protege, segmenta y monitorea</w:t>
      </w:r>
      <w:r>
        <w:t xml:space="preserve"> la red del Banco para impedir accesos no autorizados, contener incidentes y proteger los sistemas críticos (core, pagos, Banco En Línea).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toda la infraestructura de red del Banco: routers, switches, firewalls, WAF, VPN, Wi-Fi, DMZ, segmentos internos, red de gestión, enlaces a sucursales y proveedores, y redes en nube (VPOL-10).</w:t>
      </w:r>
    </w:p>
    <w:p>
      <w:pPr>
        <w:pStyle w:val="Heading3"/>
      </w:pPr>
      <w:r>
        <w:rPr>
          <w:color w:val="1F3B63"/>
        </w:rPr>
        <w:t>3. Principios de diseño</w:t>
      </w:r>
    </w:p>
    <w:p>
      <w:pPr>
        <w:pStyle w:val="ListBullet"/>
      </w:pPr>
      <w:r>
        <w:rPr>
          <w:b/>
        </w:rPr>
        <w:t>Defensa en profundidad:</w:t>
      </w:r>
      <w:r>
        <w:t xml:space="preserve"> múltiples capas (perímetro → DMZ → segmentos internos → hosts).</w:t>
      </w:r>
    </w:p>
    <w:p>
      <w:pPr>
        <w:pStyle w:val="ListBullet"/>
      </w:pPr>
      <w:r>
        <w:rPr>
          <w:b/>
        </w:rPr>
        <w:t>Segregación por zonas de seguridad</w:t>
      </w:r>
      <w:r>
        <w:t xml:space="preserve"> (MCU 5.0 / buenas prácticas): internet, DMZ, red interna, red de gestión, red de pagos/core aislada.</w:t>
      </w:r>
    </w:p>
    <w:p>
      <w:pPr>
        <w:pStyle w:val="ListBullet"/>
      </w:pPr>
      <w:r>
        <w:rPr>
          <w:b/>
        </w:rPr>
        <w:t>Menor exposición:</w:t>
      </w:r>
      <w:r>
        <w:t xml:space="preserve"> se publica a internet solo lo imprescindible (frontales en DMZ).</w:t>
      </w:r>
    </w:p>
    <w:p>
      <w:pPr>
        <w:pStyle w:val="ListBullet"/>
      </w:pPr>
      <w:r>
        <w:rPr>
          <w:b/>
        </w:rPr>
        <w:t>Ingreso por defecto denegar:</w:t>
      </w:r>
      <w:r>
        <w:t xml:space="preserve"> todo tráfico no autorizado expresamente se bloquea (listas de control de acceso y reglas de firewall).</w:t>
      </w:r>
    </w:p>
    <w:p>
      <w:pPr>
        <w:pStyle w:val="ListBullet"/>
      </w:pPr>
      <w:r>
        <w:rPr>
          <w:b/>
        </w:rPr>
        <w:t>IPv4 e IPv6:</w:t>
      </w:r>
      <w:r>
        <w:t xml:space="preserve"> las reglas aplican por igual a ambos protocolos; no se publican servicios en IPv6 sin protección equivalente.</w:t>
      </w:r>
    </w:p>
    <w:p>
      <w:pPr>
        <w:pStyle w:val="Heading3"/>
      </w:pPr>
      <w:r>
        <w:rPr>
          <w:color w:val="1F3B63"/>
        </w:rPr>
        <w:t>4. Controles de red obligatorios</w:t>
      </w:r>
    </w:p>
    <w:p>
      <w:pPr>
        <w:pStyle w:val="ListBullet"/>
      </w:pPr>
      <w:r>
        <w:rPr>
          <w:b/>
        </w:rPr>
        <w:t>Firewall perimetral y DMZ</w:t>
      </w:r>
      <w:r>
        <w:t xml:space="preserve"> con reglas mínimas y revisión periódica de reglas.</w:t>
      </w:r>
    </w:p>
    <w:p>
      <w:pPr>
        <w:pStyle w:val="ListBullet"/>
      </w:pPr>
      <w:r>
        <w:rPr>
          <w:b/>
        </w:rPr>
        <w:t>WAF</w:t>
      </w:r>
      <w:r>
        <w:t xml:space="preserve"> delante de las aplicaciones web públicas (Banco En Línea) en modo bloqueo, con reglas de OWASP (VPOL-15 bis / actividad 45 del curso RSI).</w:t>
      </w:r>
    </w:p>
    <w:p>
      <w:pPr>
        <w:pStyle w:val="ListBullet"/>
      </w:pPr>
      <w:r>
        <w:rPr>
          <w:b/>
        </w:rPr>
        <w:t>Segmentación interna:</w:t>
      </w:r>
      <w:r>
        <w:t xml:space="preserve"> la red de producción, la de gestión y la de datos de clientes están aisladas con controles de tránsito.</w:t>
      </w:r>
    </w:p>
    <w:p>
      <w:pPr>
        <w:pStyle w:val="ListBullet"/>
      </w:pPr>
      <w:r>
        <w:rPr>
          <w:b/>
        </w:rPr>
        <w:t>Red Wi-Fi:</w:t>
      </w:r>
      <w:r>
        <w:t xml:space="preserve"> separación de red corporativa y de invitados; WPA2/3-Enterprise para la corporativa; prohibido el acceso de invitados a la red interna.</w:t>
      </w:r>
    </w:p>
    <w:p>
      <w:pPr>
        <w:pStyle w:val="ListBullet"/>
      </w:pPr>
      <w:r>
        <w:rPr>
          <w:b/>
        </w:rPr>
        <w:t>VPN:</w:t>
      </w:r>
      <w:r>
        <w:t xml:space="preserve"> acceso remoto cifrado y con </w:t>
      </w:r>
      <w:r>
        <w:rPr>
          <w:b/>
        </w:rPr>
        <w:t>MFA obligatoria</w:t>
      </w:r>
      <w:r>
        <w:t xml:space="preserve"> (PR-01); perfiles según el nivel de acceso.</w:t>
      </w:r>
    </w:p>
    <w:p>
      <w:pPr>
        <w:pStyle w:val="ListBullet"/>
      </w:pPr>
      <w:r>
        <w:rPr>
          <w:b/>
        </w:rPr>
        <w:t>Seguridad de los enlaces a terceros:</w:t>
      </w:r>
      <w:r>
        <w:t xml:space="preserve"> solo servicios autorizados (VPOL-18), sin acceso a segmentos innecesarios.</w:t>
      </w:r>
    </w:p>
    <w:p>
      <w:pPr>
        <w:pStyle w:val="ListBullet"/>
      </w:pPr>
      <w:r>
        <w:rPr>
          <w:b/>
        </w:rPr>
        <w:t>IPv6:</w:t>
      </w:r>
      <w:r>
        <w:t xml:space="preserve"> se documentan las zonas y reglas; se bloquea el tránsito no autorizado igual que IPv4.</w:t>
      </w:r>
    </w:p>
    <w:p>
      <w:pPr>
        <w:pStyle w:val="Heading3"/>
      </w:pPr>
      <w:r>
        <w:rPr>
          <w:color w:val="1F3B63"/>
        </w:rPr>
        <w:t>5. NAT / enmascaramiento</w:t>
      </w:r>
    </w:p>
    <w:p>
      <w:pPr>
        <w:pStyle w:val="ListBullet"/>
      </w:pPr>
      <w:r>
        <w:t xml:space="preserve">El Banco usa </w:t>
      </w:r>
      <w:r>
        <w:rPr>
          <w:b/>
        </w:rPr>
        <w:t>NAT</w:t>
      </w:r>
      <w:r>
        <w:t xml:space="preserve"> para ocultar la red interna y salir a internet con IP pública de rango oficial (PR-NET-01).</w:t>
      </w:r>
    </w:p>
    <w:p>
      <w:pPr>
        <w:pStyle w:val="ListBullet"/>
      </w:pPr>
      <w:r>
        <w:t xml:space="preserve">Las zonas internas usan </w:t>
      </w:r>
      <w:r>
        <w:rPr>
          <w:b/>
        </w:rPr>
        <w:t>direcciones privadas (RFC 1918)</w:t>
      </w:r>
      <w:r>
        <w:t xml:space="preserve"> e IPv6 con direccionamiento interno; se documenta el esquema de direccionamiento.</w:t>
      </w:r>
    </w:p>
    <w:p>
      <w:pPr>
        <w:pStyle w:val="ListBullet"/>
      </w:pPr>
      <w:r>
        <w:t xml:space="preserve">El </w:t>
      </w:r>
      <w:r>
        <w:rPr>
          <w:b/>
        </w:rPr>
        <w:t>enmascaramiento de puertos</w:t>
      </w:r>
      <w:r>
        <w:t xml:space="preserve"> (PAT) se configura solo donde sea necesario; los servicios publicados se exponen vía DMZ con reglas específicas, no con mapeo genérico.</w:t>
      </w:r>
    </w:p>
    <w:p>
      <w:pPr>
        <w:pStyle w:val="Heading3"/>
      </w:pPr>
      <w:r>
        <w:rPr>
          <w:color w:val="1F3B63"/>
        </w:rPr>
        <w:t>6. Monitoreo y gestión de red</w:t>
      </w:r>
    </w:p>
    <w:p>
      <w:pPr>
        <w:pStyle w:val="ListBullet"/>
      </w:pPr>
      <w:r>
        <w:t>Los equipos de red se monitorean (SNMP seguro, SIEM) y sus configuraciones se respaldan (VPOL-11).</w:t>
      </w:r>
    </w:p>
    <w:p>
      <w:pPr>
        <w:pStyle w:val="ListBullet"/>
      </w:pPr>
      <w:r>
        <w:t xml:space="preserve">La </w:t>
      </w:r>
      <w:r>
        <w:rPr>
          <w:b/>
        </w:rPr>
        <w:t>gestión</w:t>
      </w:r>
      <w:r>
        <w:t xml:space="preserve"> de los equipos se hace por la red de gestión aislada, con accesos restringidos y registrados (VPOL-14).</w:t>
      </w:r>
    </w:p>
    <w:p>
      <w:pPr>
        <w:pStyle w:val="ListBullet"/>
      </w:pPr>
      <w:r>
        <w:t xml:space="preserve">Los cambios de red siguen el proceso de </w:t>
      </w:r>
      <w:r>
        <w:rPr>
          <w:b/>
        </w:rPr>
        <w:t>gestión de cambios</w:t>
      </w:r>
      <w:r>
        <w:t xml:space="preserve"> (VPOL-08).</w:t>
      </w:r>
    </w:p>
    <w:p>
      <w:pPr>
        <w:pStyle w:val="Heading3"/>
      </w:pPr>
      <w:r>
        <w:rPr>
          <w:color w:val="1F3B63"/>
        </w:rPr>
        <w:t>7. Cumplimiento y revisión</w:t>
      </w:r>
    </w:p>
    <w:p>
      <w:r>
        <w:t xml:space="preserve">Las reglas de firewall se </w:t>
      </w:r>
      <w:r>
        <w:rPr>
          <w:b/>
        </w:rPr>
        <w:t>revisan trimestralmente</w:t>
      </w:r>
      <w:r>
        <w:t xml:space="preserve"> y las que están obsoletas se eliminan. Los accesos abiertos sin justificación se cierran. Revisión anual de la política.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Diagrama de red / DMZ</w:t>
            </w:r>
          </w:p>
        </w:tc>
        <w:tc>
          <w:tcPr>
            <w:tcW w:type="dxa" w:w="4824"/>
          </w:tcPr>
          <w:p>
            <w:r/>
            <w:r>
              <w:t>BCU-01 (arquitectura)</w:t>
            </w:r>
          </w:p>
        </w:tc>
      </w:tr>
      <w:tr>
        <w:tc>
          <w:tcPr>
            <w:tcW w:type="dxa" w:w="4824"/>
          </w:tcPr>
          <w:p>
            <w:r/>
            <w:r>
              <w:t>Reglas de firewall y WAF</w:t>
            </w:r>
          </w:p>
        </w:tc>
        <w:tc>
          <w:tcPr>
            <w:tcW w:type="dxa" w:w="4824"/>
          </w:tcPr>
          <w:p>
            <w:r/>
            <w:r>
              <w:t>PR-06 (configuración)</w:t>
            </w:r>
          </w:p>
        </w:tc>
      </w:tr>
      <w:tr>
        <w:tc>
          <w:tcPr>
            <w:tcW w:type="dxa" w:w="4824"/>
          </w:tcPr>
          <w:p>
            <w:r/>
            <w:r>
              <w:t>Registro de cambios de red</w:t>
            </w:r>
          </w:p>
        </w:tc>
        <w:tc>
          <w:tcPr>
            <w:tcW w:type="dxa" w:w="4824"/>
          </w:tcPr>
          <w:p>
            <w:r/>
            <w:r>
              <w:t>GV-06, PR-07</w:t>
            </w:r>
          </w:p>
        </w:tc>
      </w:tr>
      <w:tr>
        <w:tc>
          <w:tcPr>
            <w:tcW w:type="dxa" w:w="4824"/>
          </w:tcPr>
          <w:p>
            <w:r/>
            <w:r>
              <w:t>Diagrama de red del curso</w:t>
            </w:r>
          </w:p>
        </w:tc>
        <w:tc>
          <w:tcPr>
            <w:tcW w:type="dxa" w:w="4824"/>
          </w:tcPr>
          <w:p>
            <w:r/>
            <w:r>
              <w:t>VPOL-15 / DMZ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