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VPOL-16 · Personnel Security Policy</w:t>
      </w:r>
    </w:p>
    <w:p>
      <w:pPr>
        <w:ind w:left="432"/>
      </w:pPr>
      <w:r>
        <w:rPr>
          <w:i/>
          <w:color w:val="606060"/>
        </w:rPr>
        <w:t>**Función del MCU 5.0:** Gobernar (GV.OR) · Proteger (PR.AT — concientización y competencias)</w:t>
      </w:r>
    </w:p>
    <w:p>
      <w:pPr>
        <w:ind w:left="432"/>
      </w:pPr>
      <w:r>
        <w:rPr>
          <w:i/>
          <w:color w:val="606060"/>
        </w:rPr>
        <w:t>**ISO/IEC 27001:** A.6.1 (tamizaje) · A.6.2 (términos y condiciones) · A.6.3 (concientización) · A.6.4/6.5/6.6 (ciclo del empleado)</w:t>
      </w:r>
    </w:p>
    <w:p>
      <w:pPr>
        <w:ind w:left="432"/>
      </w:pPr>
      <w:r>
        <w:rPr>
          <w:i/>
          <w:color w:val="606060"/>
        </w:rPr>
        <w:t>**BCU:** EMG — recurso humano confiable y capacitado; rol crítico en el gobierno</w:t>
      </w:r>
    </w:p>
    <w:p>
      <w:pPr>
        <w:ind w:left="432"/>
      </w:pPr>
      <w:r>
        <w:rPr>
          <w:i/>
          <w:color w:val="606060"/>
        </w:rPr>
        <w:t>**URCDP:** Ley 18.331 — autorizaciones para el tratamiento; confidencialidad del personal</w:t>
      </w:r>
    </w:p>
    <w:p>
      <w:pPr>
        <w:ind w:left="432"/>
      </w:pPr>
      <w:r>
        <w:rPr>
          <w:i/>
          <w:color w:val="606060"/>
        </w:rPr>
        <w:t>**Nivel del curso:** 🟢 Descubrir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VPOL-16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Personnel Security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RRHH + 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Garantizar que el personal del Banco sea </w:t>
      </w:r>
      <w:r>
        <w:rPr>
          <w:b/>
        </w:rPr>
        <w:t>confiable, consciente de la seguridad y competente</w:t>
      </w:r>
      <w:r>
        <w:t>, y que las responsabilidades de seguridad estén claras durante todo el ciclo laboral: ingreso, permanencia y egreso.</w:t>
      </w:r>
    </w:p>
    <w:p>
      <w:pPr>
        <w:pStyle w:val="Heading3"/>
      </w:pPr>
      <w:r>
        <w:rPr>
          <w:color w:val="1F3B63"/>
        </w:rPr>
        <w:t>2. Alcance</w:t>
      </w:r>
    </w:p>
    <w:p>
      <w:r>
        <w:t xml:space="preserve">Aplica a todo el personal (titulares, contratos a plazo, practicantes, consultores y terceros con acceso a información del Banco) en sus etapas de </w:t>
      </w:r>
      <w:r>
        <w:rPr>
          <w:b/>
        </w:rPr>
        <w:t>ingreso, tránsito y salida</w:t>
      </w:r>
      <w:r>
        <w:t>.</w:t>
      </w:r>
    </w:p>
    <w:p>
      <w:pPr>
        <w:pStyle w:val="Heading3"/>
      </w:pPr>
      <w:r>
        <w:rPr>
          <w:color w:val="1F3B63"/>
        </w:rPr>
        <w:t>3. Ingreso</w:t>
      </w:r>
    </w:p>
    <w:p>
      <w:pPr>
        <w:pStyle w:val="ListBullet"/>
      </w:pPr>
      <w:r>
        <w:rPr>
          <w:b/>
        </w:rPr>
        <w:t>Verificación de antecedentes</w:t>
      </w:r>
      <w:r>
        <w:t xml:space="preserve"> previa a la contratación, acorde al puesto ([COMPLETAR: antecedentes penales, referencias, títulos]), respetando la normativa laboral y de protección de datos personales.</w:t>
      </w:r>
    </w:p>
    <w:p>
      <w:pPr>
        <w:pStyle w:val="ListBullet"/>
      </w:pPr>
      <w:r>
        <w:rPr>
          <w:b/>
        </w:rPr>
        <w:t>Acuerdo de confidencialidad</w:t>
      </w:r>
      <w:r>
        <w:t xml:space="preserve"> firmado al ingreso.</w:t>
      </w:r>
    </w:p>
    <w:p>
      <w:pPr>
        <w:pStyle w:val="ListBullet"/>
      </w:pPr>
      <w:r>
        <w:rPr>
          <w:b/>
        </w:rPr>
        <w:t>Aceptación</w:t>
      </w:r>
      <w:r>
        <w:t xml:space="preserve"> de las políticas de seguridad (VPOL-06, VPOL-13) con acuse de lectura.</w:t>
      </w:r>
    </w:p>
    <w:p>
      <w:pPr>
        <w:pStyle w:val="ListBullet"/>
      </w:pPr>
      <w:r>
        <w:rPr>
          <w:b/>
        </w:rPr>
        <w:t>Definición del perfil de acceso</w:t>
      </w:r>
      <w:r>
        <w:t xml:space="preserve"> según el puesto (necesidad de conocer — VPOL-19).</w:t>
      </w:r>
    </w:p>
    <w:p>
      <w:pPr>
        <w:pStyle w:val="ListBullet"/>
      </w:pPr>
      <w:r>
        <w:rPr>
          <w:b/>
        </w:rPr>
        <w:t>Capacitación inicial de seguridad</w:t>
      </w:r>
      <w:r>
        <w:t xml:space="preserve"> dentro del primer mes (PR-02).</w:t>
      </w:r>
    </w:p>
    <w:p>
      <w:pPr>
        <w:pStyle w:val="Heading3"/>
      </w:pPr>
      <w:r>
        <w:rPr>
          <w:color w:val="1F3B63"/>
        </w:rPr>
        <w:t>4. Permanencia</w:t>
      </w:r>
    </w:p>
    <w:p>
      <w:pPr>
        <w:pStyle w:val="ListBullet"/>
      </w:pPr>
      <w:r>
        <w:rPr>
          <w:b/>
        </w:rPr>
        <w:t>Concientización continua:</w:t>
      </w:r>
      <w:r>
        <w:t xml:space="preserve"> campañas, simulacros de phishing, sesiones periódicas de seguridad (mínimo [COMPLETAR: anual]).</w:t>
      </w:r>
    </w:p>
    <w:p>
      <w:pPr>
        <w:pStyle w:val="ListBullet"/>
      </w:pPr>
      <w:r>
        <w:rPr>
          <w:b/>
        </w:rPr>
        <w:t>Capacitación específica</w:t>
      </w:r>
      <w:r>
        <w:t xml:space="preserve"> para roles de riesgo: RSI, SOC, administradores, desarrolladores, cajeros/atención.</w:t>
      </w:r>
    </w:p>
    <w:p>
      <w:pPr>
        <w:pStyle w:val="ListBullet"/>
      </w:pPr>
      <w:r>
        <w:rPr>
          <w:b/>
        </w:rPr>
        <w:t>Cambio de funciones:</w:t>
      </w:r>
      <w:r>
        <w:t xml:space="preserve"> se revisan los accesos y los privilegios al cambiar de rol (puede requerir recalificación de antecedentes para puestos críticos).</w:t>
      </w:r>
    </w:p>
    <w:p>
      <w:pPr>
        <w:pStyle w:val="ListBullet"/>
      </w:pPr>
      <w:r>
        <w:rPr>
          <w:b/>
        </w:rPr>
        <w:t>Sanciones:</w:t>
      </w:r>
      <w:r>
        <w:t xml:space="preserve"> incumplimientos de seguridad con medidas disciplinarias graduales (amonestación → suspensión → despido), con apoyo del RSI.</w:t>
      </w:r>
    </w:p>
    <w:p>
      <w:pPr>
        <w:pStyle w:val="Heading3"/>
      </w:pPr>
      <w:r>
        <w:rPr>
          <w:color w:val="1F3B63"/>
        </w:rPr>
        <w:t>5. Egreso</w:t>
      </w:r>
    </w:p>
    <w:p>
      <w:pPr>
        <w:pStyle w:val="ListBullet"/>
      </w:pPr>
      <w:r>
        <w:rPr>
          <w:b/>
        </w:rPr>
        <w:t>Retiro de accesos en el día</w:t>
      </w:r>
      <w:r>
        <w:t xml:space="preserve"> de la salida (VPOL-19/PR-01): cuentas, credenciales, tarjetas, dispositivos.</w:t>
      </w:r>
    </w:p>
    <w:p>
      <w:pPr>
        <w:pStyle w:val="ListBullet"/>
      </w:pPr>
      <w:r>
        <w:rPr>
          <w:b/>
        </w:rPr>
        <w:t>Entrevista de egreso</w:t>
      </w:r>
      <w:r>
        <w:t xml:space="preserve"> y repaso de obligaciones de confidencialidad vigentes.</w:t>
      </w:r>
    </w:p>
    <w:p>
      <w:pPr>
        <w:pStyle w:val="ListBullet"/>
      </w:pPr>
      <w:r>
        <w:rPr>
          <w:b/>
        </w:rPr>
        <w:t>Reasignación de responsabilidades</w:t>
      </w:r>
      <w:r>
        <w:t xml:space="preserve"> y revisión de información en posesión del egresado.</w:t>
      </w:r>
    </w:p>
    <w:p>
      <w:pPr>
        <w:pStyle w:val="ListBullet"/>
      </w:pPr>
      <w:r>
        <w:t xml:space="preserve">En caso de despido por causa de seguridad, evaluación del </w:t>
      </w:r>
      <w:r>
        <w:rPr>
          <w:b/>
        </w:rPr>
        <w:t>riesgo residual</w:t>
      </w:r>
      <w:r>
        <w:t xml:space="preserve"> (p. ej. empleados con accesos privilegiados).</w:t>
      </w:r>
    </w:p>
    <w:p>
      <w:pPr>
        <w:pStyle w:val="Heading3"/>
      </w:pPr>
      <w:r>
        <w:rPr>
          <w:color w:val="1F3B63"/>
        </w:rPr>
        <w:t>6. Responsabilidades</w:t>
      </w:r>
    </w:p>
    <w:p>
      <w:pPr>
        <w:pStyle w:val="ListBullet"/>
      </w:pPr>
      <w:r>
        <w:rPr>
          <w:b/>
        </w:rPr>
        <w:t>RRHH:</w:t>
      </w:r>
      <w:r>
        <w:t xml:space="preserve"> gestiona el ciclo laboral y la documentación.</w:t>
      </w:r>
    </w:p>
    <w:p>
      <w:pPr>
        <w:pStyle w:val="ListBullet"/>
      </w:pPr>
      <w:r>
        <w:rPr>
          <w:b/>
        </w:rPr>
        <w:t>RSI:</w:t>
      </w:r>
      <w:r>
        <w:t xml:space="preserve"> define los requisitos de seguridad por rol y participa en casos de seguridad.</w:t>
      </w:r>
    </w:p>
    <w:p>
      <w:pPr>
        <w:pStyle w:val="ListBullet"/>
      </w:pPr>
      <w:r>
        <w:rPr>
          <w:b/>
        </w:rPr>
        <w:t>Jefes de área:</w:t>
      </w:r>
      <w:r>
        <w:t xml:space="preserve"> velan por la aplicación del proceso en su equipo.</w:t>
      </w:r>
    </w:p>
    <w:p>
      <w:pPr>
        <w:pStyle w:val="Heading3"/>
      </w:pPr>
      <w:r>
        <w:rPr>
          <w:color w:val="1F3B63"/>
        </w:rPr>
        <w:t>7. Cumplimiento y revisión</w:t>
      </w:r>
    </w:p>
    <w:p>
      <w:r>
        <w:t>El incumplimiento de los deberes de confidencialidad se trata como falta grave. Revisión anual.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Programa de concientización</w:t>
            </w:r>
          </w:p>
        </w:tc>
        <w:tc>
          <w:tcPr>
            <w:tcW w:type="dxa" w:w="4824"/>
          </w:tcPr>
          <w:p>
            <w:r/>
            <w:r>
              <w:t>PR-02</w:t>
            </w:r>
          </w:p>
        </w:tc>
      </w:tr>
      <w:tr>
        <w:tc>
          <w:tcPr>
            <w:tcW w:type="dxa" w:w="4824"/>
          </w:tcPr>
          <w:p>
            <w:r/>
            <w:r>
              <w:t>Proceso de accesos (alta/baja)</w:t>
            </w:r>
          </w:p>
        </w:tc>
        <w:tc>
          <w:tcPr>
            <w:tcW w:type="dxa" w:w="4824"/>
          </w:tcPr>
          <w:p>
            <w:r/>
            <w:r>
              <w:t>PR-01</w:t>
            </w:r>
          </w:p>
        </w:tc>
      </w:tr>
      <w:tr>
        <w:tc>
          <w:tcPr>
            <w:tcW w:type="dxa" w:w="4824"/>
          </w:tcPr>
          <w:p>
            <w:r/>
            <w:r>
              <w:t>Acuerdos de confidencialidad</w:t>
            </w:r>
          </w:p>
        </w:tc>
        <w:tc>
          <w:tcPr>
            <w:tcW w:type="dxa" w:w="4824"/>
          </w:tcPr>
          <w:p>
            <w:r/>
            <w:r>
              <w:t>PR-08 / GV-05</w:t>
            </w:r>
          </w:p>
        </w:tc>
      </w:tr>
      <w:tr>
        <w:tc>
          <w:tcPr>
            <w:tcW w:type="dxa" w:w="4824"/>
          </w:tcPr>
          <w:p>
            <w:r/>
            <w:r>
              <w:t>Análisis de puestos críticos</w:t>
            </w:r>
          </w:p>
        </w:tc>
        <w:tc>
          <w:tcPr>
            <w:tcW w:type="dxa" w:w="4824"/>
          </w:tcPr>
          <w:p>
            <w:r/>
            <w:r>
              <w:t>GV-03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