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VPOL-17 · Removable Media Handling Policy</w:t>
      </w:r>
    </w:p>
    <w:p>
      <w:pPr>
        <w:ind w:left="432"/>
      </w:pPr>
      <w:r>
        <w:rPr>
          <w:i/>
          <w:color w:val="606060"/>
        </w:rPr>
        <w:t>**Función del MCU 5.0:** Proteger (PR.DS — medios; PR.PS) · Recuperar (control de datos)</w:t>
      </w:r>
    </w:p>
    <w:p>
      <w:pPr>
        <w:ind w:left="432"/>
      </w:pPr>
      <w:r>
        <w:rPr>
          <w:i/>
          <w:color w:val="606060"/>
        </w:rPr>
        <w:t>**ISO/IEC 27001:** A.8.3 (medios de almacenamiento) · A.8.12 (prevención de fuga) · A.8.10 (eliminación)</w:t>
      </w:r>
    </w:p>
    <w:p>
      <w:pPr>
        <w:ind w:left="432"/>
      </w:pPr>
      <w:r>
        <w:rPr>
          <w:i/>
          <w:color w:val="606060"/>
        </w:rPr>
        <w:t>**BCU:** EMG — protección de la información y control de los soportes</w:t>
      </w:r>
    </w:p>
    <w:p>
      <w:pPr>
        <w:ind w:left="432"/>
      </w:pPr>
      <w:r>
        <w:rPr>
          <w:i/>
          <w:color w:val="606060"/>
        </w:rPr>
        <w:t>**URCDP:** Ley 18.331 — el extravío de un medio con datos personales es una vulneración notificable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Removable Media Handling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Seguridad Física ·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Controlar el </w:t>
      </w:r>
      <w:r>
        <w:rPr>
          <w:b/>
        </w:rPr>
        <w:t>uso, almacenamiento, transporte y destrucción</w:t>
      </w:r>
      <w:r>
        <w:t xml:space="preserve"> de los medios extraíbles (pendrives, discos externos, tarjetas SD, cintas, CDs/DVDs) para evitar la fuga de información y el ingreso de malware.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el personal y a los proveedores, y a todos los medios extraíbles que se conecten a equipos del Banco o transporten información del Banco.</w:t>
      </w:r>
    </w:p>
    <w:p>
      <w:pPr>
        <w:pStyle w:val="Heading3"/>
      </w:pPr>
      <w:r>
        <w:rPr>
          <w:color w:val="1F3B63"/>
        </w:rPr>
        <w:t>3. Reglas de uso</w:t>
      </w:r>
    </w:p>
    <w:p>
      <w:pPr>
        <w:pStyle w:val="ListBullet"/>
      </w:pPr>
      <w:r>
        <w:rPr>
          <w:b/>
        </w:rPr>
        <w:t>Solo medios autorizados</w:t>
      </w:r>
      <w:r>
        <w:t xml:space="preserve"> por la Div. TI; los medios personales están </w:t>
      </w:r>
      <w:r>
        <w:rPr>
          <w:b/>
        </w:rPr>
        <w:t>prohibidos</w:t>
      </w:r>
      <w:r>
        <w:t xml:space="preserve"> en equipos con información confidencial salvo excepción autorizada.</w:t>
      </w:r>
    </w:p>
    <w:p>
      <w:pPr>
        <w:pStyle w:val="ListBullet"/>
      </w:pPr>
      <w:r>
        <w:rPr>
          <w:b/>
        </w:rPr>
        <w:t>Cifrado obligatorio</w:t>
      </w:r>
      <w:r>
        <w:t xml:space="preserve"> para datos confidenciales (nivel 3 y 4 — VPOL-12) en medios extraíbles: [COMPARTIR/COMPLETAR: herramienta de cifrado].</w:t>
      </w:r>
    </w:p>
    <w:p>
      <w:pPr>
        <w:pStyle w:val="ListBullet"/>
      </w:pPr>
      <w:r>
        <w:rPr>
          <w:b/>
        </w:rPr>
        <w:t>Escaneo antivirus</w:t>
      </w:r>
      <w:r>
        <w:t xml:space="preserve"> del medio al conectarse (protección Endpoint de la estación).</w:t>
      </w:r>
    </w:p>
    <w:p>
      <w:pPr>
        <w:pStyle w:val="ListBullet"/>
      </w:pPr>
      <w:r>
        <w:rPr>
          <w:b/>
        </w:rPr>
        <w:t>Prohibido:</w:t>
      </w:r>
      <w:r>
        <w:t xml:space="preserve"> usar medios extraíbles como almacenamiento principal de información, o dejar datos en pendrives de forma permanente.</w:t>
      </w:r>
    </w:p>
    <w:p>
      <w:pPr>
        <w:pStyle w:val="ListBullet"/>
      </w:pPr>
      <w:r>
        <w:rPr>
          <w:b/>
        </w:rPr>
        <w:t>Prohibido</w:t>
      </w:r>
      <w:r>
        <w:t xml:space="preserve"> copiar bases de datos de clientes a medios sin autorización del propietario del activo y del DPD.</w:t>
      </w:r>
    </w:p>
    <w:p>
      <w:pPr>
        <w:pStyle w:val="Heading3"/>
      </w:pPr>
      <w:r>
        <w:rPr>
          <w:color w:val="1F3B63"/>
        </w:rPr>
        <w:t>4. Transporte</w:t>
      </w:r>
    </w:p>
    <w:p>
      <w:pPr>
        <w:pStyle w:val="ListBullet"/>
      </w:pPr>
      <w:r>
        <w:t xml:space="preserve">Los medios con datos confidenciales se transportan </w:t>
      </w:r>
      <w:r>
        <w:rPr>
          <w:b/>
        </w:rPr>
        <w:t>cifrados, en contenedor cerrado</w:t>
      </w:r>
      <w:r>
        <w:t xml:space="preserve"> y con responsable identificado.</w:t>
      </w:r>
    </w:p>
    <w:p>
      <w:pPr>
        <w:pStyle w:val="ListBullet"/>
      </w:pPr>
      <w:r>
        <w:t xml:space="preserve">La </w:t>
      </w:r>
      <w:r>
        <w:rPr>
          <w:b/>
        </w:rPr>
        <w:t>entrega a terceros</w:t>
      </w:r>
      <w:r>
        <w:t xml:space="preserve"> se registra (qué, a quién, cuándo) y se rige por VPOL-18.</w:t>
      </w:r>
    </w:p>
    <w:p>
      <w:pPr>
        <w:pStyle w:val="ListBullet"/>
      </w:pPr>
      <w:r>
        <w:t>Prohibido el transporte por medios de mensajería no autorizados.</w:t>
      </w:r>
    </w:p>
    <w:p>
      <w:pPr>
        <w:pStyle w:val="Heading3"/>
      </w:pPr>
      <w:r>
        <w:rPr>
          <w:color w:val="1F3B63"/>
        </w:rPr>
        <w:t>5. Almacenamiento y destrucción</w:t>
      </w:r>
    </w:p>
    <w:p>
      <w:pPr>
        <w:pStyle w:val="ListBullet"/>
      </w:pPr>
      <w:r>
        <w:t xml:space="preserve">Los medios se guardan en </w:t>
      </w:r>
      <w:r>
        <w:rPr>
          <w:b/>
        </w:rPr>
        <w:t>armarios con llave</w:t>
      </w:r>
      <w:r>
        <w:t xml:space="preserve"> o caja de seguridad cuando contienen datos sensibles.</w:t>
      </w:r>
    </w:p>
    <w:p>
      <w:pPr>
        <w:pStyle w:val="ListBullet"/>
      </w:pPr>
      <w:r>
        <w:rPr>
          <w:b/>
        </w:rPr>
        <w:t>Destrucción segura:</w:t>
      </w:r>
      <w:r>
        <w:t xml:space="preserve"> al final de su vida útil, los medios con datos se </w:t>
      </w:r>
      <w:r>
        <w:rPr>
          <w:b/>
        </w:rPr>
        <w:t>destruyen físicamente</w:t>
      </w:r>
      <w:r>
        <w:t xml:space="preserve"> o se borran con método certificado (borrado criptográfico/cifrado + formateo), y se </w:t>
      </w:r>
      <w:r>
        <w:rPr>
          <w:b/>
        </w:rPr>
        <w:t>documenta</w:t>
      </w:r>
      <w:r>
        <w:t xml:space="preserve"> la destrucción (acta con testigos).</w:t>
      </w:r>
    </w:p>
    <w:p>
      <w:pPr>
        <w:pStyle w:val="ListBullet"/>
      </w:pPr>
      <w:r>
        <w:t>Los medios fuera de uso con datos personales se eliminan conforme a la tabla de retención (URCDP-01).</w:t>
      </w:r>
    </w:p>
    <w:p>
      <w:pPr>
        <w:pStyle w:val="Heading3"/>
      </w:pPr>
      <w:r>
        <w:rPr>
          <w:color w:val="1F3B63"/>
        </w:rPr>
        <w:t>6. Pérdida o robo</w:t>
      </w:r>
    </w:p>
    <w:p>
      <w:r>
        <w:t xml:space="preserve">La pérdida o robo de un medio con </w:t>
      </w:r>
      <w:r>
        <w:rPr>
          <w:b/>
        </w:rPr>
        <w:t>datos personales o confidenciales</w:t>
      </w:r>
      <w:r>
        <w:t xml:space="preserve"> se reporta de inmediato como </w:t>
      </w:r>
      <w:r>
        <w:rPr>
          <w:b/>
        </w:rPr>
        <w:t>incidente</w:t>
      </w:r>
      <w:r>
        <w:t xml:space="preserve"> (RS-01) y se evalúa la </w:t>
      </w:r>
      <w:r>
        <w:rPr>
          <w:b/>
        </w:rPr>
        <w:t>notificación a la URCDP</w:t>
      </w:r>
      <w:r>
        <w:t xml:space="preserve"> (art. 27-bis).</w:t>
      </w:r>
    </w:p>
    <w:p>
      <w:pPr>
        <w:pStyle w:val="Heading3"/>
      </w:pPr>
      <w:r>
        <w:rPr>
          <w:color w:val="1F3B63"/>
        </w:rPr>
        <w:t>7. Responsabilidades y cumplimiento</w:t>
      </w:r>
    </w:p>
    <w:p>
      <w:pPr>
        <w:pStyle w:val="ListBullet"/>
      </w:pPr>
      <w:r>
        <w:rPr>
          <w:b/>
        </w:rPr>
        <w:t>Cada usuario:</w:t>
      </w:r>
      <w:r>
        <w:t xml:space="preserve"> responsable del medio que le fue asignado.</w:t>
      </w:r>
    </w:p>
    <w:p>
      <w:pPr>
        <w:pStyle w:val="ListBullet"/>
      </w:pPr>
      <w:r>
        <w:rPr>
          <w:b/>
        </w:rPr>
        <w:t>Div. TI:</w:t>
      </w:r>
      <w:r>
        <w:t xml:space="preserve"> administra el inventario de medios, el cifrado y la destrucción.</w:t>
      </w:r>
    </w:p>
    <w:p>
      <w:pPr>
        <w:pStyle w:val="ListBullet"/>
      </w:pPr>
      <w:r>
        <w:rPr>
          <w:b/>
        </w:rPr>
        <w:t>DPD:</w:t>
      </w:r>
      <w:r>
        <w:t xml:space="preserve"> evalúa las notificaciones por pérdida de datos personales.</w:t>
      </w:r>
    </w:p>
    <w:p>
      <w:pPr>
        <w:pStyle w:val="ListBullet"/>
      </w:pPr>
      <w:r>
        <w:t>Incumplimiento: medidas disciplinarias; incidentes de fuga con evaluación de denuncia.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medios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t>Registro de destrucción</w:t>
            </w:r>
          </w:p>
        </w:tc>
        <w:tc>
          <w:tcPr>
            <w:tcW w:type="dxa" w:w="4824"/>
          </w:tcPr>
          <w:p>
            <w:r/>
            <w:r>
              <w:t>PR-03 / PR-04</w:t>
            </w:r>
          </w:p>
        </w:tc>
      </w:tr>
      <w:tr>
        <w:tc>
          <w:tcPr>
            <w:tcW w:type="dxa" w:w="4824"/>
          </w:tcPr>
          <w:p>
            <w:r/>
            <w:r>
              <w:t>Procedimiento de cifrado de medios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t>Notificación de vulneraciones</w:t>
            </w:r>
          </w:p>
        </w:tc>
        <w:tc>
          <w:tcPr>
            <w:tcW w:type="dxa" w:w="4824"/>
          </w:tcPr>
          <w:p>
            <w:r/>
            <w:r>
              <w:t>URCDP-02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