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VPOL-18 · Third-Party Management Policy</w:t>
      </w:r>
    </w:p>
    <w:p>
      <w:pPr>
        <w:ind w:left="432"/>
      </w:pPr>
      <w:r>
        <w:rPr>
          <w:i/>
          <w:color w:val="606060"/>
        </w:rPr>
        <w:t>**Función del MCU 5.0:** Gobernar (GV.RM — riesgos de terceros) · Proteger (PR.AC/PR.DS — límites y datos)</w:t>
      </w:r>
    </w:p>
    <w:p>
      <w:pPr>
        <w:ind w:left="432"/>
      </w:pPr>
      <w:r>
        <w:rPr>
          <w:i/>
          <w:color w:val="606060"/>
        </w:rPr>
        <w:t>**ISO/IEC 27001:** A.5.19 (seguridad en las relaciones con proveedores) · A.5.20 (acuerdos) · A.5.21/5.22/5.23 (cadena de suministro TIC)</w:t>
      </w:r>
    </w:p>
    <w:p>
      <w:pPr>
        <w:ind w:left="432"/>
      </w:pPr>
      <w:r>
        <w:rPr>
          <w:i/>
          <w:color w:val="606060"/>
        </w:rPr>
        <w:t>**BCU:** EMG y Circular 2280 — control de la tercerización de servicios del sistema de pagos; responsabilidad indelegable</w:t>
      </w:r>
    </w:p>
    <w:p>
      <w:pPr>
        <w:ind w:left="432"/>
      </w:pPr>
      <w:r>
        <w:rPr>
          <w:i/>
          <w:color w:val="606060"/>
        </w:rPr>
        <w:t>**URCDP:** Ley 18.331 — el proveedor es "encargado de tratamiento"; el Banco es el responsable</w:t>
      </w:r>
    </w:p>
    <w:p>
      <w:pPr>
        <w:ind w:left="432"/>
      </w:pPr>
      <w:r>
        <w:rPr>
          <w:i/>
          <w:color w:val="606060"/>
        </w:rPr>
        <w:t>**Nivel del curso:** 🔴 Dominar</w:t>
      </w:r>
    </w:p>
    <w:p>
      <w:pPr>
        <w:spacing w:before="120" w:after="120"/>
      </w:pPr>
    </w:p>
    <w:p>
      <w:pPr>
        <w:pStyle w:val="Heading3"/>
      </w:pPr>
      <w:r>
        <w:rPr>
          <w:color w:val="1F3B63"/>
        </w:rPr>
        <w:t>ENCABEZADO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Código</w:t>
            </w:r>
          </w:p>
        </w:tc>
        <w:tc>
          <w:tcPr>
            <w:tcW w:type="dxa" w:w="4824"/>
          </w:tcPr>
          <w:p>
            <w:r/>
            <w:r>
              <w:t>VPOL-18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Título</w:t>
            </w:r>
          </w:p>
        </w:tc>
        <w:tc>
          <w:tcPr>
            <w:tcW w:type="dxa" w:w="4824"/>
          </w:tcPr>
          <w:p>
            <w:r/>
            <w:r>
              <w:t>Third-Party Management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Versión</w:t>
            </w:r>
          </w:p>
        </w:tc>
        <w:tc>
          <w:tcPr>
            <w:tcW w:type="dxa" w:w="4824"/>
          </w:tcPr>
          <w:p>
            <w:r/>
            <w:r>
              <w:t>1.0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Estado</w:t>
            </w:r>
          </w:p>
        </w:tc>
        <w:tc>
          <w:tcPr>
            <w:tcW w:type="dxa" w:w="4824"/>
          </w:tcPr>
          <w:p>
            <w:r/>
            <w:r>
              <w:t>[Borrador / En revisión / Aprobado]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Fecha de aprobación</w:t>
            </w:r>
          </w:p>
        </w:tc>
        <w:tc>
          <w:tcPr>
            <w:tcW w:type="dxa" w:w="4824"/>
          </w:tcPr>
          <w:p>
            <w:r/>
            <w:r>
              <w:t>[COMPLETAR]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Elaborado por</w:t>
            </w:r>
          </w:p>
        </w:tc>
        <w:tc>
          <w:tcPr>
            <w:tcW w:type="dxa" w:w="4824"/>
          </w:tcPr>
          <w:p>
            <w:r/>
            <w:r>
              <w:t>Compras + RSI + DPD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Revisado por</w:t>
            </w:r>
          </w:p>
        </w:tc>
        <w:tc>
          <w:tcPr>
            <w:tcW w:type="dxa" w:w="4824"/>
          </w:tcPr>
          <w:p>
            <w:r/>
            <w:r>
              <w:t>Comité de Seguridad · Comité de Riesgos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Aprobado por</w:t>
            </w:r>
          </w:p>
        </w:tc>
        <w:tc>
          <w:tcPr>
            <w:tcW w:type="dxa" w:w="4824"/>
          </w:tcPr>
          <w:p>
            <w:r/>
            <w:r>
              <w:t>Comité de Seguridad de la Información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Clasificación</w:t>
            </w:r>
          </w:p>
        </w:tc>
        <w:tc>
          <w:tcPr>
            <w:tcW w:type="dxa" w:w="4824"/>
          </w:tcPr>
          <w:p>
            <w:r/>
            <w:r>
              <w:t>Confidencial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Próxima revisión</w:t>
            </w:r>
          </w:p>
        </w:tc>
        <w:tc>
          <w:tcPr>
            <w:tcW w:type="dxa" w:w="4824"/>
          </w:tcPr>
          <w:p>
            <w:r/>
            <w:r>
              <w:t>[Fecha, máx. 1 año]</w:t>
            </w:r>
          </w:p>
        </w:tc>
      </w:tr>
    </w:tbl>
    <w:p>
      <w:pPr>
        <w:pStyle w:val="Heading3"/>
      </w:pPr>
      <w:r>
        <w:rPr>
          <w:color w:val="1F3B63"/>
        </w:rPr>
        <w:t>1. Objetivo</w:t>
      </w:r>
    </w:p>
    <w:p>
      <w:r>
        <w:t xml:space="preserve">Gestionar el </w:t>
      </w:r>
      <w:r>
        <w:rPr>
          <w:b/>
        </w:rPr>
        <w:t>riesgo de los terceros</w:t>
      </w:r>
      <w:r>
        <w:t xml:space="preserve"> (proveedores, outsourcing, consultores, servicios en nube, mensajería, mantenimiento) que acceden a información o sistemas del Banco, garantizando que cumplan el mismo nivel de seguridad y que la responsabilidad final siga siendo del Banco.</w:t>
      </w:r>
    </w:p>
    <w:p>
      <w:pPr>
        <w:pStyle w:val="Heading3"/>
      </w:pPr>
      <w:r>
        <w:rPr>
          <w:color w:val="1F3B63"/>
        </w:rPr>
        <w:t>2. Alcance</w:t>
      </w:r>
    </w:p>
    <w:p>
      <w:r>
        <w:t xml:space="preserve">Aplica a todos los terceros con acceso a información, sistemas, redes o instalaciones del Banco, incluyendo proveedores de TI, proveedores de nube, soporte técnico, desarrolladores externos, servicios de limpieza/seguridad, y sus </w:t>
      </w:r>
      <w:r>
        <w:rPr>
          <w:b/>
        </w:rPr>
        <w:t>subcontratistas</w:t>
      </w:r>
      <w:r>
        <w:t>.</w:t>
      </w:r>
    </w:p>
    <w:p>
      <w:pPr>
        <w:pStyle w:val="Heading3"/>
      </w:pPr>
      <w:r>
        <w:rPr>
          <w:color w:val="1F3B63"/>
        </w:rPr>
        <w:t>3. Clasificación de terceros por riesgo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Nivel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Tipo de tercero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Tratamiento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Crítico</w:t>
            </w:r>
          </w:p>
        </w:tc>
        <w:tc>
          <w:tcPr>
            <w:tcW w:type="dxa" w:w="3216"/>
          </w:tcPr>
          <w:p>
            <w:r/>
            <w:r>
              <w:t>Core, pagos, nube, desarrollo, SOC externo</w:t>
            </w:r>
          </w:p>
        </w:tc>
        <w:tc>
          <w:tcPr>
            <w:tcW w:type="dxa" w:w="3216"/>
          </w:tcPr>
          <w:p>
            <w:r/>
            <w:r>
              <w:t>Due diligence reforzada, auditoría, cláusulas de seguridad y notificación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Medio</w:t>
            </w:r>
          </w:p>
        </w:tc>
        <w:tc>
          <w:tcPr>
            <w:tcW w:type="dxa" w:w="3216"/>
          </w:tcPr>
          <w:p>
            <w:r/>
            <w:r>
              <w:t>Proveedores con acceso a datos confidenciales</w:t>
            </w:r>
          </w:p>
        </w:tc>
        <w:tc>
          <w:tcPr>
            <w:tcW w:type="dxa" w:w="3216"/>
          </w:tcPr>
          <w:p>
            <w:r/>
            <w:r>
              <w:t>Contrato con cláusulas; revisión anual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Bajo</w:t>
            </w:r>
          </w:p>
        </w:tc>
        <w:tc>
          <w:tcPr>
            <w:tcW w:type="dxa" w:w="3216"/>
          </w:tcPr>
          <w:p>
            <w:r/>
            <w:r>
              <w:t>Sin acceso significativo</w:t>
            </w:r>
          </w:p>
        </w:tc>
        <w:tc>
          <w:tcPr>
            <w:tcW w:type="dxa" w:w="3216"/>
          </w:tcPr>
          <w:p>
            <w:r/>
            <w:r>
              <w:t>Registro y política de acceso</w:t>
            </w:r>
          </w:p>
        </w:tc>
      </w:tr>
    </w:tbl>
    <w:p>
      <w:pPr>
        <w:pStyle w:val="Heading3"/>
      </w:pPr>
      <w:r>
        <w:rPr>
          <w:color w:val="1F3B63"/>
        </w:rPr>
        <w:t>4. Proceso (resumen)</w:t>
      </w:r>
    </w:p>
    <w:p>
      <w:pPr>
        <w:pStyle w:val="ListNumber"/>
      </w:pPr>
      <w:r>
        <w:rPr>
          <w:b/>
        </w:rPr>
        <w:t>Debida diligencia</w:t>
      </w:r>
      <w:r>
        <w:t xml:space="preserve"> previa: reputación, certificaciones (ISO 27001), incidentes previos, ubicación de datos.</w:t>
      </w:r>
    </w:p>
    <w:p>
      <w:pPr>
        <w:pStyle w:val="ListNumber"/>
      </w:pPr>
      <w:r>
        <w:rPr>
          <w:b/>
        </w:rPr>
        <w:t>Análisis de riesgo</w:t>
      </w:r>
      <w:r>
        <w:t xml:space="preserve"> del servicio tercerizado (GV-03 / GV-05).</w:t>
      </w:r>
    </w:p>
    <w:p>
      <w:pPr>
        <w:pStyle w:val="ListNumber"/>
      </w:pPr>
      <w:r>
        <w:rPr>
          <w:b/>
        </w:rPr>
        <w:t>Contrato con cláusulas de seguridad</w:t>
      </w:r>
      <w:r>
        <w:t xml:space="preserve"> obligatorias:</w:t>
      </w:r>
    </w:p>
    <w:p>
      <w:pPr>
        <w:pStyle w:val="ListBullet"/>
      </w:pPr>
      <w:r>
        <w:t>Confidencialidad y protección de datos (como encargado de tratamiento, Ley 18.331).</w:t>
      </w:r>
    </w:p>
    <w:p>
      <w:pPr>
        <w:pStyle w:val="ListBullet"/>
      </w:pPr>
      <w:r>
        <w:t>Seguridad de la información y notificación de incidentes en [COMPLETAR: p. ej. 24 h].</w:t>
      </w:r>
    </w:p>
    <w:p>
      <w:pPr>
        <w:pStyle w:val="ListBullet"/>
      </w:pPr>
      <w:r>
        <w:t xml:space="preserve">Derechos de </w:t>
      </w:r>
      <w:r>
        <w:rPr>
          <w:b/>
        </w:rPr>
        <w:t>auditoría</w:t>
      </w:r>
      <w:r>
        <w:t xml:space="preserve"> del Banco y de los organismos de control.</w:t>
      </w:r>
    </w:p>
    <w:p>
      <w:pPr>
        <w:pStyle w:val="ListBullet"/>
      </w:pPr>
      <w:r>
        <w:t>Cumplimiento de normas del BCU cuando aplique.</w:t>
      </w:r>
    </w:p>
    <w:p>
      <w:pPr>
        <w:pStyle w:val="ListBullet"/>
      </w:pPr>
      <w:r>
        <w:rPr>
          <w:b/>
        </w:rPr>
        <w:t>Subcontratación</w:t>
      </w:r>
      <w:r>
        <w:t xml:space="preserve"> solo con autorización previa.</w:t>
      </w:r>
    </w:p>
    <w:p>
      <w:pPr>
        <w:pStyle w:val="ListBullet"/>
      </w:pPr>
      <w:r>
        <w:t>Plan de salida/desvinculación con devolución o destrucción de datos.</w:t>
      </w:r>
    </w:p>
    <w:p>
      <w:pPr>
        <w:pStyle w:val="ListNumber"/>
      </w:pPr>
      <w:r>
        <w:rPr>
          <w:b/>
        </w:rPr>
        <w:t>Alta de accesos mínimos</w:t>
      </w:r>
      <w:r>
        <w:t xml:space="preserve"> para el personal del tercero (VPOL-19/PR-01) con MFA.</w:t>
      </w:r>
    </w:p>
    <w:p>
      <w:pPr>
        <w:pStyle w:val="ListNumber"/>
      </w:pPr>
      <w:r>
        <w:rPr>
          <w:b/>
        </w:rPr>
        <w:t>Monitoreo y revisión</w:t>
      </w:r>
      <w:r>
        <w:t xml:space="preserve"> periódica del cumplimiento del contrato.</w:t>
      </w:r>
    </w:p>
    <w:p>
      <w:pPr>
        <w:pStyle w:val="ListNumber"/>
      </w:pPr>
      <w:r>
        <w:rPr>
          <w:b/>
        </w:rPr>
        <w:t>Cierre/renovación</w:t>
      </w:r>
      <w:r>
        <w:t xml:space="preserve"> con evaluación del desempeño de seguridad.</w:t>
      </w:r>
    </w:p>
    <w:p>
      <w:pPr>
        <w:pStyle w:val="Heading3"/>
      </w:pPr>
      <w:r>
        <w:rPr>
          <w:color w:val="1F3B63"/>
        </w:rPr>
        <w:t>5. Acceso físico y remoto de terceros</w:t>
      </w:r>
    </w:p>
    <w:p>
      <w:pPr>
        <w:pStyle w:val="ListBullet"/>
      </w:pPr>
      <w:r>
        <w:t>Acompañamiento/registro en instalaciones; acceso remoto solo por canales controlados (VPN con MFA) y con alcance limitado.</w:t>
      </w:r>
    </w:p>
    <w:p>
      <w:pPr>
        <w:pStyle w:val="ListBullet"/>
      </w:pPr>
      <w:r>
        <w:t xml:space="preserve">Los técnicos de soporte acceden </w:t>
      </w:r>
      <w:r>
        <w:rPr>
          <w:b/>
        </w:rPr>
        <w:t>solo a lo necesario</w:t>
      </w:r>
      <w:r>
        <w:t xml:space="preserve"> y sus acciones se registran (VPOL-14).</w:t>
      </w:r>
    </w:p>
    <w:p>
      <w:pPr>
        <w:pStyle w:val="Heading3"/>
      </w:pPr>
      <w:r>
        <w:rPr>
          <w:color w:val="1F3B63"/>
        </w:rPr>
        <w:t>6. Subcontratistas (cadena de suministro)</w:t>
      </w:r>
    </w:p>
    <w:p>
      <w:pPr>
        <w:pStyle w:val="ListBullet"/>
      </w:pPr>
      <w:r>
        <w:t>El proveedor debe notificar y obtener aprobación para subcontratar; la responsabilidad por los subcontratistas recae en el proveedor principal.</w:t>
      </w:r>
    </w:p>
    <w:p>
      <w:pPr>
        <w:pStyle w:val="ListBullet"/>
      </w:pPr>
      <w:r>
        <w:t>Los subcontratistas que accedan a datos personales quedan sujetos a las mismas cláusulas.</w:t>
      </w:r>
    </w:p>
    <w:p>
      <w:pPr>
        <w:pStyle w:val="Heading3"/>
      </w:pPr>
      <w:r>
        <w:rPr>
          <w:color w:val="1F3B63"/>
        </w:rPr>
        <w:t>7. Cumplimiento y revisión</w:t>
      </w:r>
    </w:p>
    <w:p>
      <w:pPr>
        <w:pStyle w:val="ListBullet"/>
      </w:pPr>
      <w:r>
        <w:t>Si un tercero no cumple las cláusulas de seguridad, se aplican los mecanismos contractuales (plan de acción, sanciones, desvinculación).</w:t>
      </w:r>
    </w:p>
    <w:p>
      <w:pPr>
        <w:pStyle w:val="ListBullet"/>
      </w:pPr>
      <w:r>
        <w:t>Revisión anual de la lista de terceros y de los contratos vigentes.</w:t>
      </w:r>
    </w:p>
    <w:p>
      <w:pPr>
        <w:pStyle w:val="Heading3"/>
      </w:pPr>
      <w:r>
        <w:rPr>
          <w:color w:val="1F3B63"/>
        </w:rPr>
        <w:t>Evidencia del kit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Documento canónico</w:t>
            </w:r>
          </w:p>
        </w:tc>
      </w:tr>
      <w:tr>
        <w:tc>
          <w:tcPr>
            <w:tcW w:type="dxa" w:w="4824"/>
          </w:tcPr>
          <w:p>
            <w:r/>
            <w:r>
              <w:t>Registro de terceros</w:t>
            </w:r>
          </w:p>
        </w:tc>
        <w:tc>
          <w:tcPr>
            <w:tcW w:type="dxa" w:w="4824"/>
          </w:tcPr>
          <w:p>
            <w:r/>
            <w:r>
              <w:t>GV-05</w:t>
            </w:r>
          </w:p>
        </w:tc>
      </w:tr>
      <w:tr>
        <w:tc>
          <w:tcPr>
            <w:tcW w:type="dxa" w:w="4824"/>
          </w:tcPr>
          <w:p>
            <w:r/>
            <w:r>
              <w:t>Contratos con cláusulas de seguridad</w:t>
            </w:r>
          </w:p>
        </w:tc>
        <w:tc>
          <w:tcPr>
            <w:tcW w:type="dxa" w:w="4824"/>
          </w:tcPr>
          <w:p>
            <w:r/>
            <w:r>
              <w:t>PR-08</w:t>
            </w:r>
          </w:p>
        </w:tc>
      </w:tr>
      <w:tr>
        <w:tc>
          <w:tcPr>
            <w:tcW w:type="dxa" w:w="4824"/>
          </w:tcPr>
          <w:p>
            <w:r/>
            <w:r>
              <w:t>Análisis de riesgo del tercero</w:t>
            </w:r>
          </w:p>
        </w:tc>
        <w:tc>
          <w:tcPr>
            <w:tcW w:type="dxa" w:w="4824"/>
          </w:tcPr>
          <w:p>
            <w:r/>
            <w:r>
              <w:t>GV-03, ID-02</w:t>
            </w:r>
          </w:p>
        </w:tc>
      </w:tr>
      <w:tr>
        <w:tc>
          <w:tcPr>
            <w:tcW w:type="dxa" w:w="4824"/>
          </w:tcPr>
          <w:p>
            <w:r/>
            <w:r>
              <w:t>Informe de seguimiento de proveedores</w:t>
            </w:r>
          </w:p>
        </w:tc>
        <w:tc>
          <w:tcPr>
            <w:tcW w:type="dxa" w:w="4824"/>
          </w:tcPr>
          <w:p>
            <w:r/>
            <w:r>
              <w:t>GV-05 / BCU-03</w:t>
            </w:r>
          </w:p>
        </w:tc>
      </w:tr>
    </w:tbl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