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VPOL-19 · User Access Management Policy</w:t>
      </w:r>
    </w:p>
    <w:p>
      <w:pPr>
        <w:ind w:left="432"/>
      </w:pPr>
      <w:r>
        <w:rPr>
          <w:i/>
          <w:color w:val="606060"/>
        </w:rPr>
        <w:t>**Función del MCU 5.0:** Proteger (PR.AC — gestión de identidades, credenciales y acceso)</w:t>
      </w:r>
    </w:p>
    <w:p>
      <w:pPr>
        <w:ind w:left="432"/>
      </w:pPr>
      <w:r>
        <w:rPr>
          <w:i/>
          <w:color w:val="606060"/>
        </w:rPr>
        <w:t>**ISO/IEC 27001:** A.5.15/5.16/5.17/5.18 (control de accesos: políticas, gestión, autenticación, derechos) · A.8.5/8.6 (autenticación segura)</w:t>
      </w:r>
    </w:p>
    <w:p>
      <w:pPr>
        <w:ind w:left="432"/>
      </w:pPr>
      <w:r>
        <w:rPr>
          <w:i/>
          <w:color w:val="606060"/>
        </w:rPr>
        <w:t>**BCU:** EMG — control de accesos, segregación de funciones, cuentas privilegiadas</w:t>
      </w:r>
    </w:p>
    <w:p>
      <w:pPr>
        <w:ind w:left="432"/>
      </w:pPr>
      <w:r>
        <w:rPr>
          <w:i/>
          <w:color w:val="606060"/>
        </w:rPr>
        <w:t>**URCDP:** Ley 18.331 — el acceso a datos personales solo para fines determinados y autorizados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VPOL-19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User Access Management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 + Div. TI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Jefes de área · DPD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Definir cómo se </w:t>
      </w:r>
      <w:r>
        <w:rPr>
          <w:b/>
        </w:rPr>
        <w:t>crean, cambian, autorizan, revocan y auditan</w:t>
      </w:r>
      <w:r>
        <w:t xml:space="preserve"> los accesos lógicos del Banco, garantizando el </w:t>
      </w:r>
      <w:r>
        <w:rPr>
          <w:b/>
        </w:rPr>
        <w:t>mínimo privilegio</w:t>
      </w:r>
      <w:r>
        <w:t xml:space="preserve">, la </w:t>
      </w:r>
      <w:r>
        <w:rPr>
          <w:b/>
        </w:rPr>
        <w:t>segregación de funciones</w:t>
      </w:r>
      <w:r>
        <w:t xml:space="preserve"> y la </w:t>
      </w:r>
      <w:r>
        <w:rPr>
          <w:b/>
        </w:rPr>
        <w:t>trazabilidad</w:t>
      </w:r>
      <w:r>
        <w:t>, protegiendo especialmente las cuentas privilegiadas.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todos los usuarios (personal, contratistas, proveedores, sistemas) y a todos los sistemas: dominio, core, Banco En Línea, bases de datos, red, nube, SIEM, y cuentas de servicio.</w:t>
      </w:r>
    </w:p>
    <w:p>
      <w:pPr>
        <w:pStyle w:val="Heading3"/>
      </w:pPr>
      <w:r>
        <w:rPr>
          <w:color w:val="1F3B63"/>
        </w:rPr>
        <w:t>3. Ciclo de vida del acceso</w:t>
      </w:r>
    </w:p>
    <w:p>
      <w:pPr>
        <w:pStyle w:val="ListNumber"/>
      </w:pPr>
      <w:r>
        <w:rPr>
          <w:b/>
        </w:rPr>
        <w:t>Solicitud</w:t>
      </w:r>
      <w:r>
        <w:t xml:space="preserve"> de acceso por el jefe del área, justificada según el puesto.</w:t>
      </w:r>
    </w:p>
    <w:p>
      <w:pPr>
        <w:pStyle w:val="ListNumber"/>
      </w:pPr>
      <w:r>
        <w:rPr>
          <w:b/>
        </w:rPr>
        <w:t>Autorización</w:t>
      </w:r>
      <w:r>
        <w:t xml:space="preserve"> según la matriz de accesos ([COMPLETAR: perfiles predefinidos por rol]).</w:t>
      </w:r>
    </w:p>
    <w:p>
      <w:pPr>
        <w:pStyle w:val="ListNumber"/>
      </w:pPr>
      <w:r>
        <w:rPr>
          <w:b/>
        </w:rPr>
        <w:t>Alta</w:t>
      </w:r>
      <w:r>
        <w:t xml:space="preserve"> por la Div. TI con </w:t>
      </w:r>
      <w:r>
        <w:rPr>
          <w:b/>
        </w:rPr>
        <w:t>MFA</w:t>
      </w:r>
      <w:r>
        <w:t xml:space="preserve"> cuando corresponda.</w:t>
      </w:r>
    </w:p>
    <w:p>
      <w:pPr>
        <w:pStyle w:val="ListNumber"/>
      </w:pPr>
      <w:r>
        <w:rPr>
          <w:b/>
        </w:rPr>
        <w:t>Cambio</w:t>
      </w:r>
      <w:r>
        <w:t xml:space="preserve"> de rol: se ajustan los accesos al nuevo cargo.</w:t>
      </w:r>
    </w:p>
    <w:p>
      <w:pPr>
        <w:pStyle w:val="ListNumber"/>
      </w:pPr>
      <w:r>
        <w:rPr>
          <w:b/>
        </w:rPr>
        <w:t>Revisión periódica</w:t>
      </w:r>
      <w:r>
        <w:t xml:space="preserve"> de accesos: [COMPLETAR: semestral] con validación de cada jefe.</w:t>
      </w:r>
    </w:p>
    <w:p>
      <w:pPr>
        <w:pStyle w:val="ListNumber"/>
      </w:pPr>
      <w:r>
        <w:rPr>
          <w:b/>
        </w:rPr>
        <w:t>Baja inmediata</w:t>
      </w:r>
      <w:r>
        <w:t xml:space="preserve"> ante egreso o cambio de funciones (VPOL-16).</w:t>
      </w:r>
    </w:p>
    <w:p>
      <w:pPr>
        <w:pStyle w:val="Heading3"/>
      </w:pPr>
      <w:r>
        <w:rPr>
          <w:color w:val="1F3B63"/>
        </w:rPr>
        <w:t>4. Mínimo privilegio y segregación</w:t>
      </w:r>
    </w:p>
    <w:p>
      <w:pPr>
        <w:pStyle w:val="ListBullet"/>
      </w:pPr>
      <w:r>
        <w:t xml:space="preserve">Cada usuario tiene </w:t>
      </w:r>
      <w:r>
        <w:rPr>
          <w:b/>
        </w:rPr>
        <w:t>solo los accesos necesarios</w:t>
      </w:r>
      <w:r>
        <w:t xml:space="preserve"> para su función.</w:t>
      </w:r>
    </w:p>
    <w:p>
      <w:pPr>
        <w:pStyle w:val="ListBullet"/>
      </w:pPr>
      <w:r>
        <w:rPr>
          <w:b/>
        </w:rPr>
        <w:t>Segregación de funciones</w:t>
      </w:r>
      <w:r>
        <w:t xml:space="preserve"> obligatoria: quien solicita/aprueba/ejecuta no es el mismo (p. ej. quien autoriza una transferencia no la ejecuta; quien administra no audita).</w:t>
      </w:r>
    </w:p>
    <w:p>
      <w:pPr>
        <w:pStyle w:val="ListBullet"/>
      </w:pPr>
      <w:r>
        <w:t xml:space="preserve">Acceso a </w:t>
      </w:r>
      <w:r>
        <w:rPr>
          <w:b/>
        </w:rPr>
        <w:t>datos personales</w:t>
      </w:r>
      <w:r>
        <w:t xml:space="preserve"> de clientes: solo por necesidad, con registro de consulta (VPOL-14).</w:t>
      </w:r>
    </w:p>
    <w:p>
      <w:pPr>
        <w:pStyle w:val="Heading3"/>
      </w:pPr>
      <w:r>
        <w:rPr>
          <w:color w:val="1F3B63"/>
        </w:rPr>
        <w:t>5. Cuentas privilegiadas y de servicio</w:t>
      </w:r>
    </w:p>
    <w:p>
      <w:pPr>
        <w:pStyle w:val="ListBullet"/>
      </w:pPr>
      <w:r>
        <w:rPr>
          <w:b/>
        </w:rPr>
        <w:t>Cuentas de administrador:</w:t>
      </w:r>
      <w:r>
        <w:t xml:space="preserve"> únicas por persona, con MFA, sin uso compartido; prohibido el uso diario con cuenta admin (se usa cuenta normal + elevación puntual).</w:t>
      </w:r>
    </w:p>
    <w:p>
      <w:pPr>
        <w:pStyle w:val="ListBullet"/>
      </w:pPr>
      <w:r>
        <w:t xml:space="preserve">Las acciones privilegiadas se </w:t>
      </w:r>
      <w:r>
        <w:rPr>
          <w:b/>
        </w:rPr>
        <w:t>registran y revisan</w:t>
      </w:r>
      <w:r>
        <w:t xml:space="preserve"> mensualmente (VPOL-14).</w:t>
      </w:r>
    </w:p>
    <w:p>
      <w:pPr>
        <w:pStyle w:val="ListBullet"/>
      </w:pPr>
      <w:r>
        <w:rPr>
          <w:b/>
        </w:rPr>
        <w:t>Cuentas de servicio</w:t>
      </w:r>
      <w:r>
        <w:t xml:space="preserve"> (sistemas ↔ sistemas): secretos en gestor de credenciales (no en el código), con rotación [COMPLETAR: trimestral] y revisión de vigencia.</w:t>
      </w:r>
    </w:p>
    <w:p>
      <w:pPr>
        <w:pStyle w:val="Heading3"/>
      </w:pPr>
      <w:r>
        <w:rPr>
          <w:color w:val="1F3B63"/>
        </w:rPr>
        <w:t>6. Autenticación y credenciales</w:t>
      </w:r>
    </w:p>
    <w:p>
      <w:pPr>
        <w:pStyle w:val="ListBullet"/>
      </w:pPr>
      <w:r>
        <w:rPr>
          <w:b/>
        </w:rPr>
        <w:t>MFA obligatoria</w:t>
      </w:r>
      <w:r>
        <w:t xml:space="preserve"> para: acceso remoto, cuentas privilegiadas, Banco En Línea, nube y sistemas críticos.</w:t>
      </w:r>
    </w:p>
    <w:p>
      <w:pPr>
        <w:pStyle w:val="ListBullet"/>
      </w:pPr>
      <w:r>
        <w:t>Política de contraseñas: [COMPLETAR: mínimo 12 caracteres, 3 de 4 clases, sin reutilización de últimas 5, rotación anual o ante sospecha] (conforme actividad 28 / PR-01).</w:t>
      </w:r>
    </w:p>
    <w:p>
      <w:pPr>
        <w:pStyle w:val="ListBullet"/>
      </w:pPr>
      <w:r>
        <w:t>Prohibido compartir credenciales; cada acceso se identifica individualmente.</w:t>
      </w:r>
    </w:p>
    <w:p>
      <w:pPr>
        <w:pStyle w:val="ListBullet"/>
      </w:pPr>
      <w:r>
        <w:rPr>
          <w:b/>
        </w:rPr>
        <w:t>Bloqueo</w:t>
      </w:r>
      <w:r>
        <w:t xml:space="preserve"> de cuenta tras [COMPLETAR: 5] intentos fallidos y bloqueo por inactividad [COMPLETAR: 5] minutos.</w:t>
      </w:r>
    </w:p>
    <w:p>
      <w:pPr>
        <w:pStyle w:val="Heading3"/>
      </w:pPr>
      <w:r>
        <w:rPr>
          <w:color w:val="1F3B63"/>
        </w:rPr>
        <w:t>7. Revisión y auditoría</w:t>
      </w:r>
    </w:p>
    <w:p>
      <w:pPr>
        <w:pStyle w:val="ListBullet"/>
      </w:pPr>
      <w:r>
        <w:t xml:space="preserve">Revisión de accesos </w:t>
      </w:r>
      <w:r>
        <w:rPr>
          <w:b/>
        </w:rPr>
        <w:t>semestral</w:t>
      </w:r>
      <w:r>
        <w:t xml:space="preserve"> con evidencia (acta por área).</w:t>
      </w:r>
    </w:p>
    <w:p>
      <w:pPr>
        <w:pStyle w:val="ListBullet"/>
      </w:pPr>
      <w:r>
        <w:t xml:space="preserve">La </w:t>
      </w:r>
      <w:r>
        <w:rPr>
          <w:b/>
        </w:rPr>
        <w:t>Auditoría Interna</w:t>
      </w:r>
      <w:r>
        <w:t xml:space="preserve"> evalúa periódicamente la gestión de accesos y los accesos privilegiados.</w:t>
      </w:r>
    </w:p>
    <w:p>
      <w:pPr>
        <w:pStyle w:val="ListBullet"/>
      </w:pPr>
      <w:r>
        <w:t xml:space="preserve">Los accesos no justificados se </w:t>
      </w:r>
      <w:r>
        <w:rPr>
          <w:b/>
        </w:rPr>
        <w:t>revocan</w:t>
      </w:r>
      <w:r>
        <w:t xml:space="preserve"> y se reporta el desvío al Comité.</w:t>
      </w:r>
    </w:p>
    <w:p>
      <w:pPr>
        <w:pStyle w:val="Heading3"/>
      </w:pPr>
      <w:r>
        <w:rPr>
          <w:color w:val="1F3B63"/>
        </w:rPr>
        <w:t>8. Cumplimiento y excepciones</w:t>
      </w:r>
    </w:p>
    <w:p>
      <w:r>
        <w:t xml:space="preserve">El acceso no autorizado o compartido se trata como </w:t>
      </w:r>
      <w:r>
        <w:rPr>
          <w:b/>
        </w:rPr>
        <w:t>incidente</w:t>
      </w:r>
      <w:r>
        <w:t xml:space="preserve"> (y posible denuncia, Ley 19.223). Excepciones con aprobación del RSI y plazo definido.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Matriz de accesos y perfiles</w:t>
            </w:r>
          </w:p>
        </w:tc>
        <w:tc>
          <w:tcPr>
            <w:tcW w:type="dxa" w:w="4824"/>
          </w:tcPr>
          <w:p>
            <w:r/>
            <w:r>
              <w:t>PR-01</w:t>
            </w:r>
          </w:p>
        </w:tc>
      </w:tr>
      <w:tr>
        <w:tc>
          <w:tcPr>
            <w:tcW w:type="dxa" w:w="4824"/>
          </w:tcPr>
          <w:p>
            <w:r/>
            <w:r>
              <w:t>Revisión de accesos semestral</w:t>
            </w:r>
          </w:p>
        </w:tc>
        <w:tc>
          <w:tcPr>
            <w:tcW w:type="dxa" w:w="4824"/>
          </w:tcPr>
          <w:p>
            <w:r/>
            <w:r>
              <w:t>PR-01 / EV-04</w:t>
            </w:r>
          </w:p>
        </w:tc>
      </w:tr>
      <w:tr>
        <w:tc>
          <w:tcPr>
            <w:tcW w:type="dxa" w:w="4824"/>
          </w:tcPr>
          <w:p>
            <w:r/>
            <w:r>
              <w:t>Gestor de credenciales y rotación</w:t>
            </w:r>
          </w:p>
        </w:tc>
        <w:tc>
          <w:tcPr>
            <w:tcW w:type="dxa" w:w="4824"/>
          </w:tcPr>
          <w:p>
            <w:r/>
            <w:r>
              <w:t>PR-01</w:t>
            </w:r>
          </w:p>
        </w:tc>
      </w:tr>
      <w:tr>
        <w:tc>
          <w:tcPr>
            <w:tcW w:type="dxa" w:w="4824"/>
          </w:tcPr>
          <w:p>
            <w:r/>
            <w:r>
              <w:t>Registro de accesos privilegiados</w:t>
            </w:r>
          </w:p>
        </w:tc>
        <w:tc>
          <w:tcPr>
            <w:tcW w:type="dxa" w:w="4824"/>
          </w:tcPr>
          <w:p>
            <w:r/>
            <w:r>
              <w:t>PR-01 / DE-01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