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VPOL-20 · Vulnerability Management Policy</w:t>
      </w:r>
    </w:p>
    <w:p>
      <w:pPr>
        <w:ind w:left="432"/>
      </w:pPr>
      <w:r>
        <w:rPr>
          <w:i/>
          <w:color w:val="606060"/>
        </w:rPr>
        <w:t>**Función del MCU 5.0:** Proteger (PR.PS — seguridad de plataformas) · Detectar (DE.CM — monitoreo)</w:t>
      </w:r>
    </w:p>
    <w:p>
      <w:pPr>
        <w:ind w:left="432"/>
      </w:pPr>
      <w:r>
        <w:rPr>
          <w:i/>
          <w:color w:val="606060"/>
        </w:rPr>
        <w:t>**ISO/IEC 27001:** A.8.8 (gestión de vulnerabilidades técnicas) · A.8.9 (gestión de configuraciones)</w:t>
      </w:r>
    </w:p>
    <w:p>
      <w:pPr>
        <w:ind w:left="432"/>
      </w:pPr>
      <w:r>
        <w:rPr>
          <w:i/>
          <w:color w:val="606060"/>
        </w:rPr>
        <w:t>**BCU:** EMG y RNRCSF — gestión del riesgo tecnológico; identificación y corrección de vulnerabilidades</w:t>
      </w:r>
    </w:p>
    <w:p>
      <w:pPr>
        <w:ind w:left="432"/>
      </w:pPr>
      <w:r>
        <w:rPr>
          <w:i/>
          <w:color w:val="606060"/>
        </w:rPr>
        <w:t>**URCDP:** Ley 18.331 art. 10 — las vulnerabilidades no corregidas pueden derivar en vulneraciones de datos personales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Vulnerability Management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Operaciones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Div. TI · Jefe de Producción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el proceso continuo para </w:t>
      </w:r>
      <w:r>
        <w:rPr>
          <w:b/>
        </w:rPr>
        <w:t>descubrir, evaluar, priorizar, corregir y verificar</w:t>
      </w:r>
      <w:r>
        <w:t xml:space="preserve"> las vulnerabilidades técnicas de los sistemas del Banco, reduciendo la ventana de exposición y cumpliendo los plazos que esperan Agesic y el BCU.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todos los activos tecnológicos: servidores, estaciones, equipos de red, bases de datos, aplicaciones (incluidas las web públicas — Banco En Línea), código fuente, contenedores, imágenes, dependencias y servicios en nube.</w:t>
      </w:r>
    </w:p>
    <w:p>
      <w:pPr>
        <w:pStyle w:val="Heading3"/>
      </w:pPr>
      <w:r>
        <w:rPr>
          <w:color w:val="1F3B63"/>
        </w:rPr>
        <w:t>3. Base: inventario de activos</w:t>
      </w:r>
    </w:p>
    <w:p>
      <w:pPr>
        <w:pStyle w:val="ListBullet"/>
      </w:pPr>
      <w:r>
        <w:t xml:space="preserve">El proceso parte del </w:t>
      </w:r>
      <w:r>
        <w:rPr>
          <w:b/>
        </w:rPr>
        <w:t>inventario de activos actualizado</w:t>
      </w:r>
      <w:r>
        <w:t xml:space="preserve"> (ID-01), con IP/FQDN, sistema, versión, propietario y criticidad.</w:t>
      </w:r>
    </w:p>
    <w:p>
      <w:pPr>
        <w:pStyle w:val="ListBullet"/>
      </w:pPr>
      <w:r>
        <w:t xml:space="preserve">Los activos </w:t>
      </w:r>
      <w:r>
        <w:rPr>
          <w:b/>
        </w:rPr>
        <w:t>fuera de soporte (EOL/EOS)</w:t>
      </w:r>
      <w:r>
        <w:t xml:space="preserve"> se identifican y reciben mitigación compensatoria o plan de retiro.</w:t>
      </w:r>
    </w:p>
    <w:p>
      <w:pPr>
        <w:pStyle w:val="Heading3"/>
      </w:pPr>
      <w:r>
        <w:rPr>
          <w:color w:val="1F3B63"/>
        </w:rPr>
        <w:t>4. Escaneo y evaluación</w:t>
      </w:r>
    </w:p>
    <w:p>
      <w:pPr>
        <w:pStyle w:val="ListBullet"/>
      </w:pPr>
      <w:r>
        <w:rPr>
          <w:b/>
        </w:rPr>
        <w:t>Escaneo periódico</w:t>
      </w:r>
      <w:r>
        <w:t xml:space="preserve"> de vulnerabilidades: [COMPLETAR: mensual] sobre la red interna y perímetros (recomendación de Agesic), con herramienta [COMPLETAR: OpenVAS/comercial].</w:t>
      </w:r>
    </w:p>
    <w:p>
      <w:pPr>
        <w:pStyle w:val="ListBullet"/>
      </w:pPr>
      <w:r>
        <w:rPr>
          <w:b/>
        </w:rPr>
        <w:t>Escaneos específicos</w:t>
      </w:r>
      <w:r>
        <w:t xml:space="preserve"> tras: cambios mayores, nueva exposición, avisos de CVE con explotación activa.</w:t>
      </w:r>
    </w:p>
    <w:p>
      <w:pPr>
        <w:pStyle w:val="ListBullet"/>
      </w:pPr>
      <w:r>
        <w:rPr>
          <w:b/>
        </w:rPr>
        <w:t>Aplicaciones web:</w:t>
      </w:r>
      <w:r>
        <w:t xml:space="preserve"> pruebas de seguridad (DAST/OWASP ZAP) de las aplicaciones públicas y del Banco En Línea, con el WAF en modo monitoreo→bloqueo (VPOL-15 / PR-06).</w:t>
      </w:r>
    </w:p>
    <w:p>
      <w:pPr>
        <w:pStyle w:val="ListBullet"/>
      </w:pPr>
      <w:r>
        <w:rPr>
          <w:b/>
        </w:rPr>
        <w:t>Código y contenedores:</w:t>
      </w:r>
      <w:r>
        <w:t xml:space="preserve"> análisis estático (SAST), escaneo de imágenes (Trivy) y de dependencias (pip-audit) dentro del SDLC (PR-07).</w:t>
      </w:r>
    </w:p>
    <w:p>
      <w:pPr>
        <w:pStyle w:val="ListBullet"/>
      </w:pPr>
      <w:r>
        <w:rPr>
          <w:b/>
        </w:rPr>
        <w:t>Credenciales expuestas:</w:t>
      </w:r>
      <w:r>
        <w:t xml:space="preserve"> escaneo de secretos en repositorios (Gitleaks/HIBP para correos filtrados).</w:t>
      </w:r>
    </w:p>
    <w:p>
      <w:pPr>
        <w:pStyle w:val="Heading3"/>
      </w:pPr>
      <w:r>
        <w:rPr>
          <w:color w:val="1F3B63"/>
        </w:rPr>
        <w:t>5. Clasificación y priorización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Criticidad (CVSS + contexto)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Plazo de corrección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Observaciones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Crítico (≥ 9.0 o explotación activa)</w:t>
            </w:r>
          </w:p>
        </w:tc>
        <w:tc>
          <w:tcPr>
            <w:tcW w:type="dxa" w:w="3216"/>
          </w:tcPr>
          <w:p>
            <w:r/>
            <w:r>
              <w:t>[COMPLETAR: 48–72 h]</w:t>
            </w:r>
          </w:p>
        </w:tc>
        <w:tc>
          <w:tcPr>
            <w:tcW w:type="dxa" w:w="3216"/>
          </w:tcPr>
          <w:p>
            <w:r/>
            <w:r>
              <w:t>Mitigación inmediata mientras se corrige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Alto (7.0–8.9)</w:t>
            </w:r>
          </w:p>
        </w:tc>
        <w:tc>
          <w:tcPr>
            <w:tcW w:type="dxa" w:w="3216"/>
          </w:tcPr>
          <w:p>
            <w:r/>
            <w:r>
              <w:t>[COMPLETAR: 2 semanas]</w:t>
            </w:r>
          </w:p>
        </w:tc>
        <w:tc>
          <w:tcPr>
            <w:tcW w:type="dxa" w:w="3216"/>
          </w:tcPr>
          <w:p>
            <w:r/>
            <w:r>
              <w:t>En ventana de mantenimiento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Medio (4.0–6.9)</w:t>
            </w:r>
          </w:p>
        </w:tc>
        <w:tc>
          <w:tcPr>
            <w:tcW w:type="dxa" w:w="3216"/>
          </w:tcPr>
          <w:p>
            <w:r/>
            <w:r>
              <w:t>[COMPLETAR: 1 mes]</w:t>
            </w:r>
          </w:p>
        </w:tc>
        <w:tc>
          <w:tcPr>
            <w:tcW w:type="dxa" w:w="3216"/>
          </w:tcPr>
          <w:p>
            <w:r/>
            <w:r>
              <w:t>Ciclo regular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Bajo (&lt; 4.0)</w:t>
            </w:r>
          </w:p>
        </w:tc>
        <w:tc>
          <w:tcPr>
            <w:tcW w:type="dxa" w:w="3216"/>
          </w:tcPr>
          <w:p>
            <w:r/>
            <w:r>
              <w:t>[COMPLETAR: 3 meses]</w:t>
            </w:r>
          </w:p>
        </w:tc>
        <w:tc>
          <w:tcPr>
            <w:tcW w:type="dxa" w:w="3216"/>
          </w:tcPr>
          <w:p>
            <w:r/>
            <w:r>
              <w:t>Ciclo trimestral</w:t>
            </w:r>
          </w:p>
        </w:tc>
      </w:tr>
    </w:tbl>
    <w:p>
      <w:pPr>
        <w:pStyle w:val="ListBullet"/>
      </w:pPr>
      <w:r>
        <w:t xml:space="preserve">La prioridad se ajusta por </w:t>
      </w:r>
      <w:r>
        <w:rPr>
          <w:b/>
        </w:rPr>
        <w:t>contexto</w:t>
      </w:r>
      <w:r>
        <w:t>: exposición a internet, datos personales/pago, exploit público.</w:t>
      </w:r>
    </w:p>
    <w:p>
      <w:pPr>
        <w:pStyle w:val="Heading3"/>
      </w:pPr>
      <w:r>
        <w:rPr>
          <w:color w:val="1F3B63"/>
        </w:rPr>
        <w:t>6. Corrección y verificación</w:t>
      </w:r>
    </w:p>
    <w:p>
      <w:pPr>
        <w:pStyle w:val="ListBullet"/>
      </w:pPr>
      <w:r>
        <w:t xml:space="preserve">Aplicación de parches según VPOL-08 (cambios) y PR-06; los parches críticos pueden ser </w:t>
      </w:r>
      <w:r>
        <w:rPr>
          <w:b/>
        </w:rPr>
        <w:t>emergencias</w:t>
      </w:r>
      <w:r>
        <w:t>.</w:t>
      </w:r>
    </w:p>
    <w:p>
      <w:pPr>
        <w:pStyle w:val="ListBullet"/>
      </w:pPr>
      <w:r>
        <w:t>Prueba previa en homologación para sistemas centrales.</w:t>
      </w:r>
    </w:p>
    <w:p>
      <w:pPr>
        <w:pStyle w:val="ListBullet"/>
      </w:pPr>
      <w:r>
        <w:rPr>
          <w:b/>
        </w:rPr>
        <w:t>Verificación:</w:t>
      </w:r>
      <w:r>
        <w:t xml:space="preserve"> escaneo puntual que confirme que la vulnerabilidad desapareció + validación de servicio operativo.</w:t>
      </w:r>
    </w:p>
    <w:p>
      <w:pPr>
        <w:pStyle w:val="ListBullet"/>
      </w:pPr>
      <w:r>
        <w:rPr>
          <w:b/>
        </w:rPr>
        <w:t>Excepciones</w:t>
      </w:r>
      <w:r>
        <w:t xml:space="preserve"> (no corregir): aceptación formal del riesgo residual por el Jefe de Riesgos/Comité, con mitigación compensatoria y plazo de revisión.</w:t>
      </w:r>
    </w:p>
    <w:p>
      <w:pPr>
        <w:pStyle w:val="Heading3"/>
      </w:pPr>
      <w:r>
        <w:rPr>
          <w:color w:val="1F3B63"/>
        </w:rPr>
        <w:t>7. Métricas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</w:tr>
      <w:tr>
        <w:tc>
          <w:tcPr>
            <w:tcW w:type="dxa" w:w="4824"/>
          </w:tcPr>
          <w:p>
            <w:r/>
            <w:r>
              <w:t>% activos escaneados</w:t>
            </w:r>
          </w:p>
        </w:tc>
        <w:tc>
          <w:tcPr>
            <w:tcW w:type="dxa" w:w="4824"/>
          </w:tcPr>
          <w:p>
            <w:r/>
            <w:r>
              <w:t>Escaneados ÷ inventario</w:t>
            </w:r>
          </w:p>
        </w:tc>
      </w:tr>
      <w:tr>
        <w:tc>
          <w:tcPr>
            <w:tcW w:type="dxa" w:w="4824"/>
          </w:tcPr>
          <w:p>
            <w:r/>
            <w:r>
              <w:t>% vulnerabilidades corregidas a tiempo</w:t>
            </w:r>
          </w:p>
        </w:tc>
        <w:tc>
          <w:tcPr>
            <w:tcW w:type="dxa" w:w="4824"/>
          </w:tcPr>
          <w:p>
            <w:r/>
            <w:r>
              <w:t>Corregidas en plazo ÷ detectadas</w:t>
            </w:r>
          </w:p>
        </w:tc>
      </w:tr>
      <w:tr>
        <w:tc>
          <w:tcPr>
            <w:tcW w:type="dxa" w:w="4824"/>
          </w:tcPr>
          <w:p>
            <w:r/>
            <w:r>
              <w:t>Tiempo medio de corrección (MTTR)</w:t>
            </w:r>
          </w:p>
        </w:tc>
        <w:tc>
          <w:tcPr>
            <w:tcW w:type="dxa" w:w="4824"/>
          </w:tcPr>
          <w:p>
            <w:r/>
            <w:r>
              <w:t>Σ días de corrección ÷ n</w:t>
            </w:r>
          </w:p>
        </w:tc>
      </w:tr>
      <w:tr>
        <w:tc>
          <w:tcPr>
            <w:tcW w:type="dxa" w:w="4824"/>
          </w:tcPr>
          <w:p>
            <w:r/>
            <w:r>
              <w:t>Vulnerabilidades críticas abiertas</w:t>
            </w:r>
          </w:p>
        </w:tc>
        <w:tc>
          <w:tcPr>
            <w:tcW w:type="dxa" w:w="4824"/>
          </w:tcPr>
          <w:p>
            <w:r/>
            <w:r>
              <w:t>Conteo actual</w:t>
            </w:r>
          </w:p>
        </w:tc>
      </w:tr>
      <w:tr>
        <w:tc>
          <w:tcPr>
            <w:tcW w:type="dxa" w:w="4824"/>
          </w:tcPr>
          <w:p>
            <w:r/>
            <w:r>
              <w:t>% excepciones</w:t>
            </w:r>
          </w:p>
        </w:tc>
        <w:tc>
          <w:tcPr>
            <w:tcW w:type="dxa" w:w="4824"/>
          </w:tcPr>
          <w:p>
            <w:r/>
            <w:r>
              <w:t>Excepciones ÷ hallazgos</w:t>
            </w:r>
          </w:p>
        </w:tc>
      </w:tr>
    </w:tbl>
    <w:p>
      <w:pPr>
        <w:pStyle w:val="Heading3"/>
      </w:pPr>
      <w:r>
        <w:rPr>
          <w:color w:val="1F3B63"/>
        </w:rPr>
        <w:t>8. Responsabilidades</w:t>
      </w:r>
    </w:p>
    <w:p>
      <w:pPr>
        <w:pStyle w:val="ListBullet"/>
      </w:pPr>
      <w:r>
        <w:rPr>
          <w:b/>
        </w:rPr>
        <w:t>Operaciones de Seguridad:</w:t>
      </w:r>
      <w:r>
        <w:t xml:space="preserve"> ejecuta escaneos, verifica y reporta.</w:t>
      </w:r>
    </w:p>
    <w:p>
      <w:pPr>
        <w:pStyle w:val="ListBullet"/>
      </w:pPr>
      <w:r>
        <w:rPr>
          <w:b/>
        </w:rPr>
        <w:t>Div. TI / Producción:</w:t>
      </w:r>
      <w:r>
        <w:t xml:space="preserve"> aplica parches y pruebas.</w:t>
      </w:r>
    </w:p>
    <w:p>
      <w:pPr>
        <w:pStyle w:val="ListBullet"/>
      </w:pPr>
      <w:r>
        <w:rPr>
          <w:b/>
        </w:rPr>
        <w:t>RSI:</w:t>
      </w:r>
      <w:r>
        <w:t xml:space="preserve"> prioriza, gestiona excepciones y reporta al Comité.</w:t>
      </w:r>
    </w:p>
    <w:p>
      <w:pPr>
        <w:pStyle w:val="ListBullet"/>
      </w:pPr>
      <w:r>
        <w:rPr>
          <w:b/>
        </w:rPr>
        <w:t>Comité de Seguridad:</w:t>
      </w:r>
      <w:r>
        <w:t xml:space="preserve"> revisa los resultados y decide sobre excepciones mayores.</w:t>
      </w:r>
    </w:p>
    <w:p>
      <w:pPr>
        <w:pStyle w:val="Heading3"/>
      </w:pPr>
      <w:r>
        <w:rPr>
          <w:color w:val="1F3B63"/>
        </w:rPr>
        <w:t>9. Cumplimiento y revisión</w:t>
      </w:r>
    </w:p>
    <w:p>
      <w:r>
        <w:t>Los desvíos de plazos se reportan al Comité con plan de recuperación. Revisión anual de la política (o ante cambios del proceso).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Política operativa y proceso</w:t>
            </w:r>
          </w:p>
        </w:tc>
        <w:tc>
          <w:tcPr>
            <w:tcW w:type="dxa" w:w="4824"/>
          </w:tcPr>
          <w:p>
            <w:r/>
            <w:r>
              <w:t>PR-06</w:t>
            </w:r>
          </w:p>
        </w:tc>
      </w:tr>
      <w:tr>
        <w:tc>
          <w:tcPr>
            <w:tcW w:type="dxa" w:w="4824"/>
          </w:tcPr>
          <w:p>
            <w:r/>
            <w:r>
              <w:t>Escaneos y reportes</w:t>
            </w:r>
          </w:p>
        </w:tc>
        <w:tc>
          <w:tcPr>
            <w:tcW w:type="dxa" w:w="4824"/>
          </w:tcPr>
          <w:p>
            <w:r/>
            <w:r>
              <w:t>DE-01 / rsi-tools</w:t>
            </w:r>
          </w:p>
        </w:tc>
      </w:tr>
      <w:tr>
        <w:tc>
          <w:tcPr>
            <w:tcW w:type="dxa" w:w="4824"/>
          </w:tcPr>
          <w:p>
            <w:r/>
            <w:r>
              <w:t>Registro de corrección y verificación</w:t>
            </w:r>
          </w:p>
        </w:tc>
        <w:tc>
          <w:tcPr>
            <w:tcW w:type="dxa" w:w="4824"/>
          </w:tcPr>
          <w:p>
            <w:r/>
            <w:r>
              <w:t>PR-06 / EV-03</w:t>
            </w:r>
          </w:p>
        </w:tc>
      </w:tr>
      <w:tr>
        <w:tc>
          <w:tcPr>
            <w:tcW w:type="dxa" w:w="4824"/>
          </w:tcPr>
          <w:p>
            <w:r/>
            <w:r>
              <w:t>Métricas del tablero</w:t>
            </w:r>
          </w:p>
        </w:tc>
        <w:tc>
          <w:tcPr>
            <w:tcW w:type="dxa" w:w="4824"/>
          </w:tcPr>
          <w:p>
            <w:r/>
            <w:r>
              <w:t>Actividad 43 (KPIs)</w:t>
            </w:r>
          </w:p>
        </w:tc>
      </w:tr>
      <w:tr>
        <w:tc>
          <w:tcPr>
            <w:tcW w:type="dxa" w:w="4824"/>
          </w:tcPr>
          <w:p>
            <w:r/>
            <w:r>
              <w:t>Escaneo de imágenes (Trivy)</w:t>
            </w:r>
          </w:p>
        </w:tc>
        <w:tc>
          <w:tcPr>
            <w:tcW w:type="dxa" w:w="4824"/>
          </w:tcPr>
          <w:p>
            <w:r/>
            <w:r>
              <w:t>Actividad 16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