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TOOLS-03 · Cargar el Marco Normativo (MCU 5.0, BCU, URCDP, Decreto 66/025)</w:t>
      </w:r>
    </w:p>
    <w:p>
      <w:pPr>
        <w:ind w:left="432"/>
      </w:pPr>
      <w:r>
        <w:rPr>
          <w:i/>
          <w:color w:val="606060"/>
        </w:rPr>
        <w:t>**Función del MCU 5.0:** Gobernar (GV): organizar el marco normativo que obliga al Banco y dejarlo disponible para todo el SGSI.</w:t>
      </w:r>
    </w:p>
    <w:p>
      <w:pPr>
        <w:ind w:left="432"/>
      </w:pPr>
      <w:r>
        <w:rPr>
          <w:i/>
          <w:color w:val="606060"/>
        </w:rPr>
        <w:t>**ISO/IEC 27001:** El contexto de la organización (cláusulas 4.1–4.2) y la determinación de requisitos legales (cláusula 6.1.3, A.5.34–A.5.36) exigen conocer y documentar las obligaciones.</w:t>
      </w:r>
    </w:p>
    <w:p>
      <w:pPr>
        <w:ind w:left="432"/>
      </w:pPr>
      <w:r>
        <w:rPr>
          <w:i/>
          <w:color w:val="606060"/>
        </w:rPr>
        <w:t>**BCU / URCDP / Decreto 66/025:** Todo el curso necesita las normas cargadas para correlacionar evidencia.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Por qué "cargar" las normas primero</w:t>
      </w:r>
    </w:p>
    <w:p>
      <w:r>
        <w:t xml:space="preserve">Antes de instalar herramientas, el RSI debe tener el </w:t>
      </w:r>
      <w:r>
        <w:rPr>
          <w:b/>
        </w:rPr>
        <w:t>marco normativo</w:t>
      </w:r>
      <w:r>
        <w:t xml:space="preserve"> accesible y ordenado. Las herramientas producen evidencia; las normas dicen </w:t>
      </w:r>
      <w:r>
        <w:rPr>
          <w:b/>
        </w:rPr>
        <w:t>qué evidencia se necesita</w:t>
      </w:r>
      <w:r>
        <w:t>. Si no tenés las normas cargadas, no sabés qué demostrar.</w:t>
      </w:r>
    </w:p>
    <w:p>
      <w:r>
        <w:t xml:space="preserve">Este módulo crea la </w:t>
      </w:r>
      <w:r>
        <w:rPr>
          <w:b/>
        </w:rPr>
        <w:t>estructura documental del laboratorio</w:t>
      </w:r>
      <w:r>
        <w:t xml:space="preserve"> y descarga los documentos oficiales desde las fuentes de referencia (sitios oficiales del Estado uruguayo).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Crear la estructura de carpetas del repositorio normativo</w:t>
      </w:r>
    </w:p>
    <w:p>
      <w:r>
        <w:t>Creá esta estructura dentro de tu repositorio documental del SGSI (o en tu disco de laboratorio):</w:t>
      </w:r>
    </w:p>
    <w:p>
      <w:r>
        <w:t>En PowerShell/terminal de Windows: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Descargar las normas desde las fuentes oficiales</w:t>
      </w:r>
    </w:p>
    <w:p>
      <w:pPr>
        <w:ind w:left="432"/>
      </w:pPr>
      <w:r>
        <w:rPr>
          <w:i/>
          <w:color w:val="606060"/>
        </w:rPr>
        <w:t>⚠️ Usá siempre **sitios oficiales** del Estado (gub.uy, bcu.gub.uy, urcdp.gub.uy, impo.com.uy, iso.org). El kit `README.md` tiene los enlaces en la sección 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buscar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Carpeta destino</w:t>
            </w:r>
          </w:p>
        </w:tc>
      </w:tr>
      <w:tr>
        <w:tc>
          <w:tcPr>
            <w:tcW w:type="dxa" w:w="3216"/>
          </w:tcPr>
          <w:p>
            <w:r/>
            <w:r>
              <w:t>MCU 5.0 + guía de implementación</w:t>
            </w:r>
          </w:p>
        </w:tc>
        <w:tc>
          <w:tcPr>
            <w:tcW w:type="dxa" w:w="3216"/>
          </w:tcPr>
          <w:p>
            <w:r/>
            <w:r>
              <w:t>Sitio de Agesic -&gt; "Marco de Ciberseguridad 5.0" -&gt; descargar PDF y guía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01-Agesic-MCU5.0</w:t>
            </w:r>
          </w:p>
        </w:tc>
      </w:tr>
      <w:tr>
        <w:tc>
          <w:tcPr>
            <w:tcW w:type="dxa" w:w="3216"/>
          </w:tcPr>
          <w:p>
            <w:r/>
            <w:r>
              <w:t>Guía EMG (Estándares Mínimos de Gestión)</w:t>
            </w:r>
          </w:p>
        </w:tc>
        <w:tc>
          <w:tcPr>
            <w:tcW w:type="dxa" w:w="3216"/>
          </w:tcPr>
          <w:p>
            <w:r/>
            <w:r>
              <w:t>Sitio del BCU -&gt; "Estándares Mínimos de Gestión – Seguridad de la Información"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02-BCU-EMG</w:t>
            </w:r>
          </w:p>
        </w:tc>
      </w:tr>
      <w:tr>
        <w:tc>
          <w:tcPr>
            <w:tcW w:type="dxa" w:w="3216"/>
          </w:tcPr>
          <w:p>
            <w:r/>
            <w:r>
              <w:t>RNRCSF art. 492 (riesgo TIC)</w:t>
            </w:r>
          </w:p>
        </w:tc>
        <w:tc>
          <w:tcPr>
            <w:tcW w:type="dxa" w:w="3216"/>
          </w:tcPr>
          <w:p>
            <w:r/>
            <w:r>
              <w:t>Sitio del BCU -&gt; normativa sobre riesgo de TIC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02-BCU-EMG</w:t>
            </w:r>
          </w:p>
        </w:tc>
      </w:tr>
      <w:tr>
        <w:tc>
          <w:tcPr>
            <w:tcW w:type="dxa" w:w="3216"/>
          </w:tcPr>
          <w:p>
            <w:r/>
            <w:r>
              <w:t>Circular 2227 (riesgo operacional)</w:t>
            </w:r>
          </w:p>
        </w:tc>
        <w:tc>
          <w:tcPr>
            <w:tcW w:type="dxa" w:w="3216"/>
          </w:tcPr>
          <w:p>
            <w:r/>
            <w:r>
              <w:t>Sitio del BCU -&gt; normativa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06-Otros</w:t>
            </w:r>
          </w:p>
        </w:tc>
      </w:tr>
      <w:tr>
        <w:tc>
          <w:tcPr>
            <w:tcW w:type="dxa" w:w="3216"/>
          </w:tcPr>
          <w:p>
            <w:r/>
            <w:r>
              <w:t>Ley 18.331 y Ley 19.670</w:t>
            </w:r>
          </w:p>
        </w:tc>
        <w:tc>
          <w:tcPr>
            <w:tcW w:type="dxa" w:w="3216"/>
          </w:tcPr>
          <w:p>
            <w:r/>
            <w:r>
              <w:t>IMPO (impo.com.uy)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03-URCDP-ProtDatos</w:t>
            </w:r>
          </w:p>
        </w:tc>
      </w:tr>
      <w:tr>
        <w:tc>
          <w:tcPr>
            <w:tcW w:type="dxa" w:w="3216"/>
          </w:tcPr>
          <w:p>
            <w:r/>
            <w:r>
              <w:t>Decreto 64/020</w:t>
            </w:r>
          </w:p>
        </w:tc>
        <w:tc>
          <w:tcPr>
            <w:tcW w:type="dxa" w:w="3216"/>
          </w:tcPr>
          <w:p>
            <w:r/>
            <w:r>
              <w:t>IMPO (reglamento de la Ley 19.670)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03-URCDP-ProtDatos</w:t>
            </w:r>
          </w:p>
        </w:tc>
      </w:tr>
      <w:tr>
        <w:tc>
          <w:tcPr>
            <w:tcW w:type="dxa" w:w="3216"/>
          </w:tcPr>
          <w:p>
            <w:r/>
            <w:r>
              <w:t>Decreto 66/025</w:t>
            </w:r>
          </w:p>
        </w:tc>
        <w:tc>
          <w:tcPr>
            <w:tcW w:type="dxa" w:w="3216"/>
          </w:tcPr>
          <w:p>
            <w:r/>
            <w:r>
              <w:t>IMPO (reglamenta cometidos de Agesic en seguridad)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04-Decreto-66-025</w:t>
            </w:r>
          </w:p>
        </w:tc>
      </w:tr>
      <w:tr>
        <w:tc>
          <w:tcPr>
            <w:tcW w:type="dxa" w:w="3216"/>
          </w:tcPr>
          <w:p>
            <w:r/>
            <w:r>
              <w:t>ISO/IEC 27001:2022</w:t>
            </w:r>
          </w:p>
        </w:tc>
        <w:tc>
          <w:tcPr>
            <w:tcW w:type="dxa" w:w="3216"/>
          </w:tcPr>
          <w:p>
            <w:r/>
            <w:r>
              <w:t>Si el Banco la tiene licenciada (no piratear)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05-ISO-27001</w:t>
            </w:r>
          </w:p>
        </w:tc>
      </w:tr>
      <w:tr>
        <w:tc>
          <w:tcPr>
            <w:tcW w:type="dxa" w:w="3216"/>
          </w:tcPr>
          <w:p>
            <w:r/>
            <w:r>
              <w:t>Guías SGSI Agesic (planillas xlsx)</w:t>
            </w:r>
          </w:p>
        </w:tc>
        <w:tc>
          <w:tcPr>
            <w:tcW w:type="dxa" w:w="3216"/>
          </w:tcPr>
          <w:p>
            <w:r/>
            <w:r>
              <w:t>Sitio de Agesic -&gt; guías del MCU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01-Agesic-MCU5.0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Nombrar cada documento con un código</w:t>
      </w:r>
    </w:p>
    <w:p>
      <w:r>
        <w:t>Para poder citar las normas en las plantillas del kit, guardá cada PDF con un nombre tipo:</w:t>
      </w:r>
    </w:p>
    <w:p>
      <w:pPr>
        <w:pStyle w:val="ListBullet"/>
      </w:pPr>
      <w:r>
        <w:rPr>
          <w:rFonts w:ascii="Consolas" w:hAnsi="Consolas"/>
          <w:sz w:val="20"/>
        </w:rPr>
        <w:t>MCU-50_2025.pdf</w:t>
      </w:r>
    </w:p>
    <w:p>
      <w:pPr>
        <w:pStyle w:val="ListBullet"/>
      </w:pPr>
      <w:r>
        <w:rPr>
          <w:rFonts w:ascii="Consolas" w:hAnsi="Consolas"/>
          <w:sz w:val="20"/>
        </w:rPr>
        <w:t>BCU-EMG_SeguridadInformacion.pdf</w:t>
      </w:r>
    </w:p>
    <w:p>
      <w:pPr>
        <w:pStyle w:val="ListBullet"/>
      </w:pPr>
      <w:r>
        <w:rPr>
          <w:rFonts w:ascii="Consolas" w:hAnsi="Consolas"/>
          <w:sz w:val="20"/>
        </w:rPr>
        <w:t>Ley-18331_ProtDatos.pdf</w:t>
      </w:r>
    </w:p>
    <w:p>
      <w:pPr>
        <w:pStyle w:val="ListBullet"/>
      </w:pPr>
      <w:r>
        <w:rPr>
          <w:rFonts w:ascii="Consolas" w:hAnsi="Consolas"/>
          <w:sz w:val="20"/>
        </w:rPr>
        <w:t>Ley-19670_Vulneraciones.pdf</w:t>
      </w:r>
    </w:p>
    <w:p>
      <w:pPr>
        <w:pStyle w:val="ListBullet"/>
      </w:pPr>
      <w:r>
        <w:rPr>
          <w:rFonts w:ascii="Consolas" w:hAnsi="Consolas"/>
          <w:sz w:val="20"/>
        </w:rPr>
        <w:t>Decreto-64020_Reglamento-L19670.pdf</w:t>
      </w:r>
    </w:p>
    <w:p>
      <w:pPr>
        <w:pStyle w:val="ListBullet"/>
      </w:pPr>
      <w:r>
        <w:rPr>
          <w:rFonts w:ascii="Consolas" w:hAnsi="Consolas"/>
          <w:sz w:val="20"/>
        </w:rPr>
        <w:t>Decreto-66025_Agesic-Seguridad.pdf</w:t>
      </w:r>
    </w:p>
    <w:p>
      <w:pPr>
        <w:pStyle w:val="ListBullet"/>
      </w:pPr>
      <w:r>
        <w:rPr>
          <w:rFonts w:ascii="Consolas" w:hAnsi="Consolas"/>
          <w:sz w:val="20"/>
        </w:rPr>
        <w:t>Circular-2227_RiesgoOperacional.pdf</w:t>
      </w:r>
    </w:p>
    <w:p>
      <w:pPr>
        <w:ind w:left="432"/>
      </w:pPr>
      <w:r>
        <w:rPr>
          <w:i/>
          <w:color w:val="606060"/>
        </w:rPr>
        <w:t>Este código es el que después vas a citar en las plantillas (por ejemplo, en la MATRIZ-001 y en las URCDP).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Cruzar las normas con las plantillas (MATRIZ-001)</w:t>
      </w:r>
    </w:p>
    <w:p>
      <w:r>
        <w:t xml:space="preserve">El kit tiene la matriz en </w:t>
      </w:r>
      <w:r>
        <w:rPr>
          <w:rFonts w:ascii="Consolas" w:hAnsi="Consolas"/>
          <w:sz w:val="20"/>
        </w:rPr>
        <w:t>00-PLANIFICACION/00-Matriz-Correspondencia-Normativa.md</w:t>
      </w:r>
      <w:r>
        <w:t>. Tu tarea:</w:t>
      </w:r>
    </w:p>
    <w:p>
      <w:pPr>
        <w:pStyle w:val="ListNumber"/>
      </w:pPr>
      <w:r>
        <w:t>Abrí la matriz y verificá que lista cada norma con su función MCU 5.0 y sus plantillas.</w:t>
      </w:r>
    </w:p>
    <w:p>
      <w:pPr>
        <w:pStyle w:val="ListNumber"/>
      </w:pPr>
      <w:r>
        <w:t>Marcá con "descargada" cada norma que cargaste en el repositorio.</w:t>
      </w:r>
    </w:p>
    <w:p>
      <w:pPr>
        <w:pStyle w:val="ListNumber"/>
      </w:pPr>
      <w:r>
        <w:t>Cuando una herramienta produzca evidencia, vas a poder anotar "evidencia de la norma X, carpeta 04-EVIDENCIA".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Herramienta recomendada para el repositorio</w:t>
      </w:r>
    </w:p>
    <w:p>
      <w:pPr>
        <w:pStyle w:val="ListBullet"/>
      </w:pPr>
      <w:r>
        <w:rPr>
          <w:b/>
        </w:rPr>
        <w:t>Obsidian</w:t>
      </w:r>
      <w:r>
        <w:t xml:space="preserve"> (open source, gratuito para uso personal) o </w:t>
      </w:r>
      <w:r>
        <w:rPr>
          <w:b/>
        </w:rPr>
        <w:t>Joplin</w:t>
      </w:r>
      <w:r>
        <w:t>: para enlazar notas entre normas, plantillas y evidencias.</w:t>
      </w:r>
    </w:p>
    <w:p>
      <w:pPr>
        <w:pStyle w:val="ListBullet"/>
      </w:pPr>
      <w:r>
        <w:rPr>
          <w:b/>
        </w:rPr>
        <w:t>LibreOffice</w:t>
      </w:r>
      <w:r>
        <w:t xml:space="preserve"> (open source): para abrir/editar las planillas de Agesic y de riesgos sin depender de Microsoft.</w:t>
      </w:r>
    </w:p>
    <w:p>
      <w:r>
        <w:t>Instalación en Windows: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volcarlo a las plantillas del kit</w:t>
      </w:r>
    </w:p>
    <w:p>
      <w:pPr>
        <w:pStyle w:val="ListBullet"/>
      </w:pPr>
      <w:r>
        <w:rPr>
          <w:b/>
        </w:rPr>
        <w:t>GV-01 (Política)</w:t>
      </w:r>
      <w:r>
        <w:t>: citá en la política el marco normativo que obliga al Banco.</w:t>
      </w:r>
    </w:p>
    <w:p>
      <w:pPr>
        <w:pStyle w:val="ListBullet"/>
      </w:pPr>
      <w:r>
        <w:rPr>
          <w:b/>
        </w:rPr>
        <w:t>GV-02 (Alcance)</w:t>
      </w:r>
      <w:r>
        <w:t>: el alcance del SGSI se define sabiendo qué normas aplican.</w:t>
      </w:r>
    </w:p>
    <w:p>
      <w:pPr>
        <w:pStyle w:val="ListBullet"/>
      </w:pPr>
      <w:r>
        <w:rPr>
          <w:b/>
        </w:rPr>
        <w:t>MATRIZ-001</w:t>
      </w:r>
      <w:r>
        <w:t>: la matriz de correspondencia se completa con el repositorio descargado.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Lista de verificación del módulo</w:t>
      </w:r>
    </w:p>
    <w:p>
      <w:pPr>
        <w:pStyle w:val="ListBullet"/>
      </w:pPr>
      <w:r>
        <w:t xml:space="preserve">☐ Creé la estructura </w:t>
      </w:r>
      <w:r>
        <w:rPr>
          <w:rFonts w:ascii="Consolas" w:hAnsi="Consolas"/>
          <w:sz w:val="20"/>
        </w:rPr>
        <w:t>Repositorio-SGSI\</w:t>
      </w:r>
      <w:r>
        <w:t>.</w:t>
      </w:r>
    </w:p>
    <w:p>
      <w:pPr>
        <w:pStyle w:val="ListBullet"/>
      </w:pPr>
      <w:r>
        <w:t>☐ Descargué MCU 5.0 y su guía desde el sitio de Agesic.</w:t>
      </w:r>
    </w:p>
    <w:p>
      <w:pPr>
        <w:pStyle w:val="ListBullet"/>
      </w:pPr>
      <w:r>
        <w:t>☐ Descargué la Guía EMG del BCU y el RNRCSF art. 492.</w:t>
      </w:r>
    </w:p>
    <w:p>
      <w:pPr>
        <w:pStyle w:val="ListBullet"/>
      </w:pPr>
      <w:r>
        <w:t>☐ Descargué Ley 18.331, Ley 19.670 y Decreto 64/020 desde IMPO.</w:t>
      </w:r>
    </w:p>
    <w:p>
      <w:pPr>
        <w:pStyle w:val="ListBullet"/>
      </w:pPr>
      <w:r>
        <w:t>☐ Descargué el Decreto 66/025 desde IMPO.</w:t>
      </w:r>
    </w:p>
    <w:p>
      <w:pPr>
        <w:pStyle w:val="ListBullet"/>
      </w:pPr>
      <w:r>
        <w:t>☐ Cada PDF tiene un nombre con código.</w:t>
      </w:r>
    </w:p>
    <w:p>
      <w:pPr>
        <w:pStyle w:val="ListBullet"/>
      </w:pPr>
      <w:r>
        <w:t>☐ La MATRIZ-001 está marcada con las normas descargadas.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GV-02, MATRIZ-001, HERRAM-001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