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TOOLS-08 · Concientización: Gophish (Simulacros de Phishing)</w:t>
      </w:r>
    </w:p>
    <w:p>
      <w:pPr>
        <w:ind w:left="432"/>
      </w:pPr>
      <w:r>
        <w:rPr>
          <w:i/>
          <w:color w:val="606060"/>
        </w:rPr>
        <w:t>**Función del MCU 5.0:** Proteger (PR.AT): concientización y entrenamiento del personal; Gobernar (GV.RM) al reducir el riesgo del factor humano.</w:t>
      </w:r>
    </w:p>
    <w:p>
      <w:pPr>
        <w:ind w:left="432"/>
      </w:pPr>
      <w:r>
        <w:rPr>
          <w:i/>
          <w:color w:val="606060"/>
        </w:rPr>
        <w:t>**ISO/IEC 27001:** Anexo A.5.32 (concienciación, educación y capacitación en seguridad).</w:t>
      </w:r>
    </w:p>
    <w:p>
      <w:pPr>
        <w:ind w:left="432"/>
      </w:pPr>
      <w:r>
        <w:rPr>
          <w:i/>
          <w:color w:val="606060"/>
        </w:rPr>
        <w:t>**BCU:** La guía EMG incluye el programa de concientización como control esperado.</w:t>
      </w:r>
    </w:p>
    <w:p>
      <w:pPr>
        <w:ind w:left="432"/>
      </w:pPr>
      <w:r>
        <w:rPr>
          <w:i/>
          <w:color w:val="606060"/>
        </w:rPr>
        <w:t>**URCDP:** El error humano es la principal causa de filtración de datos personales; el programa de concientización es una medida de seguridad (art. 10).</w:t>
      </w:r>
    </w:p>
    <w:p>
      <w:pPr>
        <w:ind w:left="432"/>
      </w:pPr>
      <w:r>
        <w:rPr>
          <w:i/>
          <w:color w:val="606060"/>
        </w:rPr>
        <w:t>**Nivel del curso:** 🟡 Practicar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Qué es y para qué sirve</w:t>
      </w:r>
    </w:p>
    <w:p>
      <w:r>
        <w:rPr>
          <w:b/>
        </w:rPr>
        <w:t>Gophish</w:t>
      </w:r>
      <w:r>
        <w:t xml:space="preserve"> es una plataforma open source de </w:t>
      </w:r>
      <w:r>
        <w:rPr>
          <w:b/>
        </w:rPr>
        <w:t>simulacros de phishing</w:t>
      </w:r>
      <w:r>
        <w:t xml:space="preserve">: te permite enviar correos de prueba (clonados o personalizados) a direcciones que cargás, y medir </w:t>
      </w:r>
      <w:r>
        <w:rPr>
          <w:b/>
        </w:rPr>
        <w:t>cuántas personas hicieron clic o entregaron credenciales</w:t>
      </w:r>
      <w:r>
        <w:t>.</w:t>
      </w:r>
    </w:p>
    <w:p>
      <w:r>
        <w:t>Sirve para:</w:t>
      </w:r>
    </w:p>
    <w:p>
      <w:pPr>
        <w:pStyle w:val="ListBullet"/>
      </w:pPr>
      <w:r>
        <w:t xml:space="preserve">Medir la </w:t>
      </w:r>
      <w:r>
        <w:rPr>
          <w:b/>
        </w:rPr>
        <w:t>línea de base</w:t>
      </w:r>
      <w:r>
        <w:t xml:space="preserve"> de vulnerabilidad al phishing del Banco.</w:t>
      </w:r>
    </w:p>
    <w:p>
      <w:pPr>
        <w:pStyle w:val="ListBullet"/>
      </w:pPr>
      <w:r>
        <w:t>Entrenar al personal de forma realista y sin riesgo real.</w:t>
      </w:r>
    </w:p>
    <w:p>
      <w:pPr>
        <w:pStyle w:val="ListBullet"/>
      </w:pPr>
      <w:r>
        <w:t xml:space="preserve">Documentar en </w:t>
      </w:r>
      <w:r>
        <w:rPr>
          <w:b/>
        </w:rPr>
        <w:t>PR-02</w:t>
      </w:r>
      <w:r>
        <w:t xml:space="preserve"> que el programa de concientización existe y tiene métricas.</w:t>
      </w:r>
    </w:p>
    <w:p>
      <w:pPr>
        <w:ind w:left="432"/>
      </w:pPr>
      <w:r>
        <w:rPr>
          <w:i/>
          <w:color w:val="606060"/>
        </w:rPr>
        <w:t>⚠️ **Importante:** los simulacros se hacen con **autorización de la dirección y del área legal**, sobre **direcciones de correo del propio Banco**, con un mensaje claramente de prueba (o aprobado) y con política de comunicación posterior. Nunca sobre terceros.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2. Instalar Gophish (en la VM del laboratorio)</w:t>
      </w:r>
    </w:p>
    <w:p>
      <w:r>
        <w:t>Gophish es un binario único que no necesita base de datos:</w:t>
      </w:r>
    </w:p>
    <w:p>
      <w:r>
        <w:t xml:space="preserve">En la salida verás la </w:t>
      </w:r>
      <w:r>
        <w:rPr>
          <w:b/>
        </w:rPr>
        <w:t>clave del panel de administración</w:t>
      </w:r>
      <w:r>
        <w:t xml:space="preserve"> y la URL (por defecto </w:t>
      </w:r>
      <w:r>
        <w:rPr>
          <w:rFonts w:ascii="Consolas" w:hAnsi="Consolas"/>
          <w:sz w:val="20"/>
        </w:rPr>
        <w:t>https://&lt;IP&gt;:3333</w:t>
      </w:r>
      <w:r>
        <w:t xml:space="preserve">). Accedé con </w:t>
      </w:r>
      <w:r>
        <w:rPr>
          <w:rFonts w:ascii="Consolas" w:hAnsi="Consolas"/>
          <w:sz w:val="20"/>
        </w:rPr>
        <w:t>admin</w:t>
      </w:r>
      <w:r>
        <w:t xml:space="preserve"> y esa clave. Cambiala en </w:t>
      </w:r>
      <w:r>
        <w:rPr>
          <w:b/>
        </w:rPr>
        <w:t>Settings</w:t>
      </w:r>
      <w:r>
        <w:t>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3. Primeros pasos en Gophish</w:t>
      </w:r>
    </w:p>
    <w:p>
      <w:pPr>
        <w:pStyle w:val="Heading3"/>
      </w:pPr>
      <w:r>
        <w:rPr>
          <w:color w:val="1F3B63"/>
        </w:rPr>
        <w:t>3.1 Configurar el perfil de envío (Email Sending Profile)</w:t>
      </w:r>
    </w:p>
    <w:p>
      <w:pPr>
        <w:pStyle w:val="ListNumber"/>
      </w:pPr>
      <w:r>
        <w:rPr>
          <w:b/>
        </w:rPr>
        <w:t>Sending Profiles → New Profile</w:t>
      </w:r>
      <w:r>
        <w:t>.</w:t>
      </w:r>
    </w:p>
    <w:p>
      <w:pPr>
        <w:pStyle w:val="ListNumber"/>
      </w:pPr>
      <w:r>
        <w:t xml:space="preserve">Nombre: </w:t>
      </w:r>
      <w:r>
        <w:rPr>
          <w:rFonts w:ascii="Consolas" w:hAnsi="Consolas"/>
          <w:sz w:val="20"/>
        </w:rPr>
        <w:t>Simulacro Laboratorio</w:t>
      </w:r>
      <w:r>
        <w:t>.</w:t>
      </w:r>
    </w:p>
    <w:p>
      <w:pPr>
        <w:pStyle w:val="ListNumber"/>
      </w:pPr>
      <w:r>
        <w:rPr>
          <w:b/>
        </w:rPr>
        <w:t>SMTP</w:t>
      </w:r>
      <w:r>
        <w:t>: usá el servidor SMTP del entorno de pruebas (o un servicio de prueba). En el laboratorio podés usar el de un buzón de prueba.</w:t>
      </w:r>
    </w:p>
    <w:p>
      <w:pPr>
        <w:pStyle w:val="ListNumber"/>
      </w:pPr>
      <w:r>
        <w:t xml:space="preserve">From: </w:t>
      </w:r>
      <w:r>
        <w:rPr>
          <w:rFonts w:ascii="Consolas" w:hAnsi="Consolas"/>
          <w:sz w:val="20"/>
        </w:rPr>
        <w:t>capacitacion.seguridad@banco-laboratorio.uy</w:t>
      </w:r>
      <w:r>
        <w:t xml:space="preserve"> (dirección ficticia de prueba).</w:t>
      </w:r>
    </w:p>
    <w:p>
      <w:pPr>
        <w:pStyle w:val="Heading3"/>
      </w:pPr>
      <w:r>
        <w:rPr>
          <w:color w:val="1F3B63"/>
        </w:rPr>
        <w:t>3.2 Crear la lista de destinatarios (Users &amp; Groups)</w:t>
      </w:r>
    </w:p>
    <w:p>
      <w:pPr>
        <w:pStyle w:val="ListNumber"/>
      </w:pPr>
      <w:r>
        <w:rPr>
          <w:b/>
        </w:rPr>
        <w:t>Users &amp; Groups → New Group</w:t>
      </w:r>
      <w:r>
        <w:t>.</w:t>
      </w:r>
    </w:p>
    <w:p>
      <w:pPr>
        <w:pStyle w:val="ListNumber"/>
      </w:pPr>
      <w:r>
        <w:t xml:space="preserve">Cargá 5–10 direcciones </w:t>
      </w:r>
      <w:r>
        <w:rPr>
          <w:b/>
        </w:rPr>
        <w:t>de prueba</w:t>
      </w:r>
      <w:r>
        <w:t xml:space="preserve"> (por ejemplo, cuentas de prueba del equipo) con nombre y apellido.</w:t>
      </w:r>
    </w:p>
    <w:p>
      <w:pPr>
        <w:pStyle w:val="Heading3"/>
      </w:pPr>
      <w:r>
        <w:rPr>
          <w:color w:val="1F3B63"/>
        </w:rPr>
        <w:t>3.3 Crear una plantilla de correo (Email Templates)</w:t>
      </w:r>
    </w:p>
    <w:p>
      <w:pPr>
        <w:pStyle w:val="ListNumber"/>
      </w:pPr>
      <w:r>
        <w:rPr>
          <w:b/>
        </w:rPr>
        <w:t>Email Templates → New Template</w:t>
      </w:r>
      <w:r>
        <w:t>.</w:t>
      </w:r>
    </w:p>
    <w:p>
      <w:pPr>
        <w:pStyle w:val="ListNumber"/>
      </w:pPr>
      <w:r>
        <w:t>Usá "Import" para subir el HTML de un correo tipo (o editá uno de los que vienen por defecto).</w:t>
      </w:r>
    </w:p>
    <w:p>
      <w:pPr>
        <w:pStyle w:val="ListNumber"/>
      </w:pPr>
      <w:r>
        <w:t xml:space="preserve">Incluí variables </w:t>
      </w:r>
      <w:r>
        <w:rPr>
          <w:rFonts w:ascii="Consolas" w:hAnsi="Consolas"/>
          <w:sz w:val="20"/>
        </w:rPr>
        <w:t>{{.FirstName}}</w:t>
      </w:r>
      <w:r>
        <w:t xml:space="preserve">, </w:t>
      </w:r>
      <w:r>
        <w:rPr>
          <w:rFonts w:ascii="Consolas" w:hAnsi="Consolas"/>
          <w:sz w:val="20"/>
        </w:rPr>
        <w:t>{{.URL}}</w:t>
      </w:r>
      <w:r>
        <w:t>, etc.</w:t>
      </w:r>
    </w:p>
    <w:p>
      <w:pPr>
        <w:pStyle w:val="Heading3"/>
      </w:pPr>
      <w:r>
        <w:rPr>
          <w:color w:val="1F3B63"/>
        </w:rPr>
        <w:t>3.4 Crear la página de captura (Landing Page)</w:t>
      </w:r>
    </w:p>
    <w:p>
      <w:pPr>
        <w:pStyle w:val="ListNumber"/>
      </w:pPr>
      <w:r>
        <w:rPr>
          <w:b/>
        </w:rPr>
        <w:t>Landing Pages → New Page</w:t>
      </w:r>
      <w:r>
        <w:t>.</w:t>
      </w:r>
    </w:p>
    <w:p>
      <w:pPr>
        <w:pStyle w:val="ListNumber"/>
      </w:pPr>
      <w:r>
        <w:t>Elegí una página tipo login de prueba y activá "Capture Submitted Data" y "Capture Passwords" (para el laboratorio; en producción, según política).</w:t>
      </w:r>
    </w:p>
    <w:p>
      <w:pPr>
        <w:pStyle w:val="Heading3"/>
      </w:pPr>
      <w:r>
        <w:rPr>
          <w:color w:val="1F3B63"/>
        </w:rPr>
        <w:t>3.5 Lanzar la campaña</w:t>
      </w:r>
    </w:p>
    <w:p>
      <w:pPr>
        <w:pStyle w:val="ListNumber"/>
      </w:pPr>
      <w:r>
        <w:rPr>
          <w:b/>
        </w:rPr>
        <w:t>Campaigns → New Campaign</w:t>
      </w:r>
      <w:r>
        <w:t>.</w:t>
      </w:r>
    </w:p>
    <w:p>
      <w:pPr>
        <w:pStyle w:val="ListNumber"/>
      </w:pPr>
      <w:r>
        <w:t xml:space="preserve">Nombre: </w:t>
      </w:r>
      <w:r>
        <w:rPr>
          <w:rFonts w:ascii="Consolas" w:hAnsi="Consolas"/>
          <w:sz w:val="20"/>
        </w:rPr>
        <w:t>Simulacro-01</w:t>
      </w:r>
      <w:r>
        <w:t>. Plantilla, página y grupo.</w:t>
      </w:r>
    </w:p>
    <w:p>
      <w:pPr>
        <w:pStyle w:val="ListNumber"/>
      </w:pPr>
      <w:r>
        <w:rPr>
          <w:b/>
        </w:rPr>
        <w:t>URL</w:t>
      </w:r>
      <w:r>
        <w:t>: la de la VM (</w:t>
      </w:r>
      <w:r>
        <w:rPr>
          <w:rFonts w:ascii="Consolas" w:hAnsi="Consolas"/>
          <w:sz w:val="20"/>
        </w:rPr>
        <w:t>http://&lt;IP&gt;:80</w:t>
      </w:r>
      <w:r>
        <w:t xml:space="preserve"> o el puerto que uses).</w:t>
      </w:r>
    </w:p>
    <w:p>
      <w:pPr>
        <w:pStyle w:val="ListNumber"/>
      </w:pPr>
      <w:r>
        <w:rPr>
          <w:b/>
        </w:rPr>
        <w:t>Launch</w:t>
      </w:r>
      <w:r>
        <w:t xml:space="preserve">. Al terminar, en </w:t>
      </w:r>
      <w:r>
        <w:rPr>
          <w:b/>
        </w:rPr>
        <w:t>Campaign Results</w:t>
      </w:r>
      <w:r>
        <w:t xml:space="preserve"> vas a ver: enviados, abiertos, clics, credenciales capturadas.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4. Medir y documentar los resultados</w:t>
      </w:r>
    </w:p>
    <w:p>
      <w:r>
        <w:t>Exportá los resultados (CSV) y calculá la métrica principal:</w:t>
      </w:r>
    </w:p>
    <w:p>
      <w:r>
        <w:rPr>
          <w:b/>
        </w:rPr>
        <w:t>Tasa de clics = (clics / enviados) × 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Resultado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significa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Acción</w:t>
            </w:r>
          </w:p>
        </w:tc>
      </w:tr>
      <w:tr>
        <w:tc>
          <w:tcPr>
            <w:tcW w:type="dxa" w:w="3216"/>
          </w:tcPr>
          <w:p>
            <w:r/>
            <w:r>
              <w:t>&lt; 5% de clics</w:t>
            </w:r>
          </w:p>
        </w:tc>
        <w:tc>
          <w:tcPr>
            <w:tcW w:type="dxa" w:w="3216"/>
          </w:tcPr>
          <w:p>
            <w:r/>
            <w:r>
              <w:t>Baja vulnerabilidad</w:t>
            </w:r>
          </w:p>
        </w:tc>
        <w:tc>
          <w:tcPr>
            <w:tcW w:type="dxa" w:w="3216"/>
          </w:tcPr>
          <w:p>
            <w:r/>
            <w:r>
              <w:t>Mantener y medir periódicamente</w:t>
            </w:r>
          </w:p>
        </w:tc>
      </w:tr>
      <w:tr>
        <w:tc>
          <w:tcPr>
            <w:tcW w:type="dxa" w:w="3216"/>
          </w:tcPr>
          <w:p>
            <w:r/>
            <w:r>
              <w:t>5–20% de clics</w:t>
            </w:r>
          </w:p>
        </w:tc>
        <w:tc>
          <w:tcPr>
            <w:tcW w:type="dxa" w:w="3216"/>
          </w:tcPr>
          <w:p>
            <w:r/>
            <w:r>
              <w:t>Media</w:t>
            </w:r>
          </w:p>
        </w:tc>
        <w:tc>
          <w:tcPr>
            <w:tcW w:type="dxa" w:w="3216"/>
          </w:tcPr>
          <w:p>
            <w:r/>
            <w:r>
              <w:t>Reforzar con charlas y otro simulacro</w:t>
            </w:r>
          </w:p>
        </w:tc>
      </w:tr>
      <w:tr>
        <w:tc>
          <w:tcPr>
            <w:tcW w:type="dxa" w:w="3216"/>
          </w:tcPr>
          <w:p>
            <w:r/>
            <w:r>
              <w:t>&gt; 20% de clics</w:t>
            </w:r>
          </w:p>
        </w:tc>
        <w:tc>
          <w:tcPr>
            <w:tcW w:type="dxa" w:w="3216"/>
          </w:tcPr>
          <w:p>
            <w:r/>
            <w:r>
              <w:t>Alta</w:t>
            </w:r>
          </w:p>
        </w:tc>
        <w:tc>
          <w:tcPr>
            <w:tcW w:type="dxa" w:w="3216"/>
          </w:tcPr>
          <w:p>
            <w:r/>
            <w:r>
              <w:t>Programa urgente de concientización + revisar controles técnicos (anti-phishing)</w:t>
            </w:r>
          </w:p>
        </w:tc>
      </w:tr>
    </w:tbl>
    <w:p>
      <w:pPr>
        <w:ind w:left="432"/>
      </w:pPr>
      <w:r>
        <w:rPr>
          <w:i/>
          <w:color w:val="606060"/>
        </w:rPr>
        <w:t>Los datos se vuelcan a **PR-02** junto con el plan de formación (charlas, material, periodicidad).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5. Cómo volcarlo a las plantillas del kit</w:t>
      </w:r>
    </w:p>
    <w:p>
      <w:pPr>
        <w:pStyle w:val="ListBullet"/>
      </w:pPr>
      <w:r>
        <w:rPr>
          <w:b/>
        </w:rPr>
        <w:t>PR-02 (Programa de Concientización)</w:t>
      </w:r>
      <w:r>
        <w:t>: el plan, la frecuencia y los resultados de los simulacros.</w:t>
      </w:r>
    </w:p>
    <w:p>
      <w:pPr>
        <w:pStyle w:val="ListBullet"/>
      </w:pPr>
      <w:r>
        <w:rPr>
          <w:b/>
        </w:rPr>
        <w:t>ID-03 (Análisis de Riesgos)</w:t>
      </w:r>
      <w:r>
        <w:t>: la tasa de clics es evidencia del riesgo de "phishing" (amenaza) y de la exposición (vulnerabilidad).</w:t>
      </w:r>
    </w:p>
    <w:p>
      <w:pPr>
        <w:pStyle w:val="ListBullet"/>
      </w:pPr>
      <w:r>
        <w:rPr>
          <w:b/>
        </w:rPr>
        <w:t>URCDP-01</w:t>
      </w:r>
      <w:r>
        <w:t>: el programa de concientización es una medida de seguridad documentable.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6. Lista de verificación del módulo</w:t>
      </w:r>
    </w:p>
    <w:p>
      <w:pPr>
        <w:pStyle w:val="ListBullet"/>
      </w:pPr>
      <w:r>
        <w:t>☐ Gophish instalado y panel accesible.</w:t>
      </w:r>
    </w:p>
    <w:p>
      <w:pPr>
        <w:pStyle w:val="ListBullet"/>
      </w:pPr>
      <w:r>
        <w:t>☐ Perfil de envío creado (SMTP de prueba).</w:t>
      </w:r>
    </w:p>
    <w:p>
      <w:pPr>
        <w:pStyle w:val="ListBullet"/>
      </w:pPr>
      <w:r>
        <w:t>☐ Grupo con destinatarios de prueba.</w:t>
      </w:r>
    </w:p>
    <w:p>
      <w:pPr>
        <w:pStyle w:val="ListBullet"/>
      </w:pPr>
      <w:r>
        <w:t>☐ Plantilla de correo y página de captura configuradas.</w:t>
      </w:r>
    </w:p>
    <w:p>
      <w:pPr>
        <w:pStyle w:val="ListBullet"/>
      </w:pPr>
      <w:r>
        <w:t xml:space="preserve">☐ Campaña </w:t>
      </w:r>
      <w:r>
        <w:rPr>
          <w:rFonts w:ascii="Consolas" w:hAnsi="Consolas"/>
          <w:sz w:val="20"/>
        </w:rPr>
        <w:t>Simulacro-01</w:t>
      </w:r>
      <w:r>
        <w:t xml:space="preserve"> lanzada y resultados revisados.</w:t>
      </w:r>
    </w:p>
    <w:p>
      <w:pPr>
        <w:pStyle w:val="ListBullet"/>
      </w:pPr>
      <w:r>
        <w:t>☐ Resultados exportados a CSV.</w:t>
      </w:r>
    </w:p>
    <w:p>
      <w:pPr>
        <w:pStyle w:val="ListBullet"/>
      </w:pPr>
      <w:r>
        <w:t>☐ Resultados volcados a PR-02 (borrador).</w:t>
      </w:r>
    </w:p>
    <w:p>
      <w:pPr>
        <w:spacing w:before="120" w:after="120"/>
      </w:pPr>
    </w:p>
    <w:p>
      <w:r>
        <w:rPr>
          <w:b/>
        </w:rPr>
        <w:t>Documentos relacionados:</w:t>
      </w:r>
      <w:r>
        <w:t xml:space="preserve"> PR-02, ID-03, URCDP-01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