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TOOLS-09 · Vulnerabilidades y Parches: OpenVAS, Trivy, OWASP ZAP, Semgrep</w:t>
      </w:r>
    </w:p>
    <w:p>
      <w:pPr>
        <w:ind w:left="432"/>
      </w:pPr>
      <w:r>
        <w:rPr>
          <w:i/>
          <w:color w:val="606060"/>
        </w:rPr>
        <w:t>**Función del MCU 5.0:** Proteger (PR.PS) y Detectar (DE.CM): gestión de vulnerabilidades y parches.</w:t>
      </w:r>
    </w:p>
    <w:p>
      <w:pPr>
        <w:ind w:left="432"/>
      </w:pPr>
      <w:r>
        <w:rPr>
          <w:i/>
          <w:color w:val="606060"/>
        </w:rPr>
        <w:t>**ISO/IEC 27001:** Anexo A.8.8 (gestión de vulnerabilidades técnicas) y A.8.31 (separación de entornos).</w:t>
      </w:r>
    </w:p>
    <w:p>
      <w:pPr>
        <w:ind w:left="432"/>
      </w:pPr>
      <w:r>
        <w:rPr>
          <w:i/>
          <w:color w:val="606060"/>
        </w:rPr>
        <w:t>**BCU:** La guía EMG y el art. 492 exigen un proceso de gestión de vulnerabilidades con evidencia (BCU-04).</w:t>
      </w:r>
    </w:p>
    <w:p>
      <w:pPr>
        <w:ind w:left="432"/>
      </w:pPr>
      <w:r>
        <w:rPr>
          <w:i/>
          <w:color w:val="606060"/>
        </w:rPr>
        <w:t>**URCDP:** Las vulnerabilidades no parcheadas son la principal causa de filtraciones de datos personales; mitigarlas es una medida de seguridad (art. 10).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OpenVAS (Greenbone)</w:t>
            </w:r>
          </w:p>
        </w:tc>
        <w:tc>
          <w:tcPr>
            <w:tcW w:type="dxa" w:w="3216"/>
          </w:tcPr>
          <w:p>
            <w:r/>
            <w:r>
              <w:t>Escáner de vulnerabilidades de red</w:t>
            </w:r>
          </w:p>
        </w:tc>
        <w:tc>
          <w:tcPr>
            <w:tcW w:type="dxa" w:w="3216"/>
          </w:tcPr>
          <w:p>
            <w:r/>
            <w:r>
              <w:t>Descubrir CVEs y debilidades en sistemas y servicios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Trivy</w:t>
            </w:r>
          </w:p>
        </w:tc>
        <w:tc>
          <w:tcPr>
            <w:tcW w:type="dxa" w:w="3216"/>
          </w:tcPr>
          <w:p>
            <w:r/>
            <w:r>
              <w:t>Escáner de imágenes/containers</w:t>
            </w:r>
          </w:p>
        </w:tc>
        <w:tc>
          <w:tcPr>
            <w:tcW w:type="dxa" w:w="3216"/>
          </w:tcPr>
          <w:p>
            <w:r/>
            <w:r>
              <w:t>Vulnerabilidades en Docker, Helm, dependencias (útil si el Banco usa contenedores)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OWASP ZAP</w:t>
            </w:r>
          </w:p>
        </w:tc>
        <w:tc>
          <w:tcPr>
            <w:tcW w:type="dxa" w:w="3216"/>
          </w:tcPr>
          <w:p>
            <w:r/>
            <w:r>
              <w:t>DAST (web)</w:t>
            </w:r>
          </w:p>
        </w:tc>
        <w:tc>
          <w:tcPr>
            <w:tcW w:type="dxa" w:w="3216"/>
          </w:tcPr>
          <w:p>
            <w:r/>
            <w:r>
              <w:t>Probar aplicaciones web en busca de fallas (inyección, XSS, etc.)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Semgrep</w:t>
            </w:r>
          </w:p>
        </w:tc>
        <w:tc>
          <w:tcPr>
            <w:tcW w:type="dxa" w:w="3216"/>
          </w:tcPr>
          <w:p>
            <w:r/>
            <w:r>
              <w:t>SAST (código)</w:t>
            </w:r>
          </w:p>
        </w:tc>
        <w:tc>
          <w:tcPr>
            <w:tcW w:type="dxa" w:w="3216"/>
          </w:tcPr>
          <w:p>
            <w:r/>
            <w:r>
              <w:t>Analizar código fuente buscando patrones inseguros</w:t>
            </w:r>
          </w:p>
        </w:tc>
      </w:tr>
    </w:tbl>
    <w:p>
      <w:pPr>
        <w:ind w:left="432"/>
      </w:pPr>
      <w:r>
        <w:rPr>
          <w:i/>
          <w:color w:val="606060"/>
        </w:rPr>
        <w:t>**Regla de oro:** el ciclo es **escanear → priorizar → corregir (patch) → re-escanear → evidenciar**. Los escaneos se hacen en entornos de prueba y sobre sistemas autorizados.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Instalar OpenVAS (Greenbone) en la VM</w:t>
      </w:r>
    </w:p>
    <w:p>
      <w:r>
        <w:t xml:space="preserve">La forma más simple es con Docker (la imagen </w:t>
      </w:r>
      <w:r>
        <w:rPr>
          <w:rFonts w:ascii="Consolas" w:hAnsi="Consolas"/>
          <w:sz w:val="20"/>
        </w:rPr>
        <w:t>greenbone/gvm</w:t>
      </w:r>
      <w:r>
        <w:t>):</w:t>
      </w:r>
    </w:p>
    <w:p>
      <w:r>
        <w:t xml:space="preserve">Accedé a </w:t>
      </w:r>
      <w:r>
        <w:rPr>
          <w:rFonts w:ascii="Consolas" w:hAnsi="Consolas"/>
          <w:sz w:val="20"/>
        </w:rPr>
        <w:t>https://&lt;IP-de-la-VM&gt;:9392</w:t>
      </w:r>
      <w:r>
        <w:t xml:space="preserve"> (usuario </w:t>
      </w:r>
      <w:r>
        <w:rPr>
          <w:rFonts w:ascii="Consolas" w:hAnsi="Consolas"/>
          <w:sz w:val="20"/>
        </w:rPr>
        <w:t>admin</w:t>
      </w:r>
      <w:r>
        <w:t>, la clave te la muestra el log de arranque; o configurala en el primer inicio). La primera sincronización de la base de CVE puede tardar.</w:t>
      </w:r>
    </w:p>
    <w:p>
      <w:pPr>
        <w:ind w:left="432"/>
      </w:pPr>
      <w:r>
        <w:rPr>
          <w:i/>
          <w:color w:val="606060"/>
        </w:rPr>
        <w:t>⚠️ La primera vez Greenbone descarga la base de vulnerabilidades (puede tardar 20–60 min). Dale tiempo y actualizala periódicamente.</w:t>
      </w:r>
    </w:p>
    <w:p>
      <w:pPr>
        <w:pStyle w:val="Heading3"/>
      </w:pPr>
      <w:r>
        <w:rPr>
          <w:color w:val="1F3B63"/>
        </w:rPr>
        <w:t>Primer escaneo</w:t>
      </w:r>
    </w:p>
    <w:p>
      <w:pPr>
        <w:pStyle w:val="ListNumber"/>
      </w:pPr>
      <w:r>
        <w:rPr>
          <w:b/>
        </w:rPr>
        <w:t>Configuration → Targets → New Target</w:t>
      </w:r>
      <w:r>
        <w:t xml:space="preserve">: nombre </w:t>
      </w:r>
      <w:r>
        <w:rPr>
          <w:rFonts w:ascii="Consolas" w:hAnsi="Consolas"/>
          <w:sz w:val="20"/>
        </w:rPr>
        <w:t>Lab-Red</w:t>
      </w:r>
      <w:r>
        <w:t xml:space="preserve">, hosts </w:t>
      </w:r>
      <w:r>
        <w:rPr>
          <w:rFonts w:ascii="Consolas" w:hAnsi="Consolas"/>
          <w:sz w:val="20"/>
        </w:rPr>
        <w:t>192.168.1.0/24</w:t>
      </w:r>
      <w:r>
        <w:t xml:space="preserve"> (o el rango del laboratorio).</w:t>
      </w:r>
    </w:p>
    <w:p>
      <w:pPr>
        <w:pStyle w:val="ListNumber"/>
      </w:pPr>
      <w:r>
        <w:rPr>
          <w:b/>
        </w:rPr>
        <w:t>Scans → Tasks → New Task</w:t>
      </w:r>
      <w:r>
        <w:t>: elegí el target y un scan config por defecto.</w:t>
      </w:r>
    </w:p>
    <w:p>
      <w:pPr>
        <w:pStyle w:val="ListNumber"/>
      </w:pPr>
      <w:r>
        <w:rPr>
          <w:b/>
        </w:rPr>
        <w:t>Play</w:t>
      </w:r>
      <w:r>
        <w:t xml:space="preserve"> (▶) la tarea. Esperá el resultado.</w:t>
      </w:r>
    </w:p>
    <w:p>
      <w:pPr>
        <w:pStyle w:val="ListNumber"/>
      </w:pPr>
      <w:r>
        <w:rPr>
          <w:b/>
        </w:rPr>
        <w:t>Reports</w:t>
      </w:r>
      <w:r>
        <w:t xml:space="preserve">: abrí el reporte → verás hosts con su </w:t>
      </w:r>
      <w:r>
        <w:rPr>
          <w:b/>
        </w:rPr>
        <w:t>CVSS</w:t>
      </w:r>
      <w:r>
        <w:t xml:space="preserve"> y las vulnerabilidades detectadas.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Instalar Trivy (containers)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Instalar OWASP ZAP</w:t>
      </w:r>
    </w:p>
    <w:p>
      <w:pPr>
        <w:pStyle w:val="Heading3"/>
      </w:pPr>
      <w:r>
        <w:rPr>
          <w:color w:val="1F3B63"/>
        </w:rPr>
        <w:t>Windows (puesto del RSI)</w:t>
      </w:r>
    </w:p>
    <w:p>
      <w:pPr>
        <w:pStyle w:val="Heading3"/>
      </w:pPr>
      <w:r>
        <w:rPr>
          <w:color w:val="1F3B63"/>
        </w:rPr>
        <w:t>Primer uso (modo asistido)</w:t>
      </w:r>
    </w:p>
    <w:p>
      <w:pPr>
        <w:pStyle w:val="ListNumber"/>
      </w:pPr>
      <w:r>
        <w:t xml:space="preserve">Abrí </w:t>
      </w:r>
      <w:r>
        <w:rPr>
          <w:b/>
        </w:rPr>
        <w:t>ZAP</w:t>
      </w:r>
      <w:r>
        <w:t xml:space="preserve"> → </w:t>
      </w:r>
      <w:r>
        <w:rPr>
          <w:b/>
        </w:rPr>
        <w:t>Automated Scan</w:t>
      </w:r>
      <w:r>
        <w:t xml:space="preserve"> (o Quick Start).</w:t>
      </w:r>
    </w:p>
    <w:p>
      <w:pPr>
        <w:pStyle w:val="ListNumber"/>
      </w:pPr>
      <w:r>
        <w:t>URL de prueba: un sitio web de práctica autorizado (ej. el "WebGoat" o "bWAPP" del laboratorio) o una app interna de pruebas.</w:t>
      </w:r>
    </w:p>
    <w:p>
      <w:pPr>
        <w:pStyle w:val="ListNumber"/>
      </w:pPr>
      <w:r>
        <w:rPr>
          <w:b/>
        </w:rPr>
        <w:t>Attack</w:t>
      </w:r>
      <w:r>
        <w:t xml:space="preserve"> → ZAP recorre la app (spider) y la ataca con su conjunto de pruebas.</w:t>
      </w:r>
    </w:p>
    <w:p>
      <w:pPr>
        <w:pStyle w:val="ListNumber"/>
      </w:pPr>
      <w:r>
        <w:t xml:space="preserve">En </w:t>
      </w:r>
      <w:r>
        <w:rPr>
          <w:b/>
        </w:rPr>
        <w:t>Alerts</w:t>
      </w:r>
      <w:r>
        <w:t xml:space="preserve"> vas a ver las fallas con su severidad. </w:t>
      </w:r>
      <w:r>
        <w:rPr>
          <w:b/>
        </w:rPr>
        <w:t>Report → Generate Report</w:t>
      </w:r>
      <w:r>
        <w:t xml:space="preserve"> → HTML (evidencia).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Instalar Semgrep (SAST)</w:t>
      </w:r>
    </w:p>
    <w:p>
      <w:pPr>
        <w:pStyle w:val="Heading3"/>
      </w:pPr>
      <w:r>
        <w:rPr>
          <w:color w:val="1F3B63"/>
        </w:rPr>
        <w:t>Primer escaneo</w:t>
      </w:r>
    </w:p>
    <w:p>
      <w:r>
        <w:t>El reporte muestra los hallazgos por regla (falta de validación, SQL injection, etc.).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Priorizar: CVSS y contexto</w:t>
      </w:r>
    </w:p>
    <w:p>
      <w:r>
        <w:t>Usá la escala CVSS v3.1 para priorizar: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Rango CVSS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Plazo sugerido de parche</w:t>
            </w:r>
          </w:p>
        </w:tc>
      </w:tr>
      <w:tr>
        <w:tc>
          <w:tcPr>
            <w:tcW w:type="dxa" w:w="3216"/>
          </w:tcPr>
          <w:p>
            <w:r/>
            <w:r>
              <w:t>Crítico</w:t>
            </w:r>
          </w:p>
        </w:tc>
        <w:tc>
          <w:tcPr>
            <w:tcW w:type="dxa" w:w="3216"/>
          </w:tcPr>
          <w:p>
            <w:r/>
            <w:r>
              <w:t>9.0–10.0</w:t>
            </w:r>
          </w:p>
        </w:tc>
        <w:tc>
          <w:tcPr>
            <w:tcW w:type="dxa" w:w="3216"/>
          </w:tcPr>
          <w:p>
            <w:r/>
            <w:r>
              <w:t>Inmediato (máx. 7 días)</w:t>
            </w:r>
          </w:p>
        </w:tc>
      </w:tr>
      <w:tr>
        <w:tc>
          <w:tcPr>
            <w:tcW w:type="dxa" w:w="3216"/>
          </w:tcPr>
          <w:p>
            <w:r/>
            <w:r>
              <w:t>Alto</w:t>
            </w:r>
          </w:p>
        </w:tc>
        <w:tc>
          <w:tcPr>
            <w:tcW w:type="dxa" w:w="3216"/>
          </w:tcPr>
          <w:p>
            <w:r/>
            <w:r>
              <w:t>7.0–8.9</w:t>
            </w:r>
          </w:p>
        </w:tc>
        <w:tc>
          <w:tcPr>
            <w:tcW w:type="dxa" w:w="3216"/>
          </w:tcPr>
          <w:p>
            <w:r/>
            <w:r>
              <w:t>Máx. 30 días</w:t>
            </w:r>
          </w:p>
        </w:tc>
      </w:tr>
      <w:tr>
        <w:tc>
          <w:tcPr>
            <w:tcW w:type="dxa" w:w="3216"/>
          </w:tcPr>
          <w:p>
            <w:r/>
            <w:r>
              <w:t>Medio</w:t>
            </w:r>
          </w:p>
        </w:tc>
        <w:tc>
          <w:tcPr>
            <w:tcW w:type="dxa" w:w="3216"/>
          </w:tcPr>
          <w:p>
            <w:r/>
            <w:r>
              <w:t>4.0–6.9</w:t>
            </w:r>
          </w:p>
        </w:tc>
        <w:tc>
          <w:tcPr>
            <w:tcW w:type="dxa" w:w="3216"/>
          </w:tcPr>
          <w:p>
            <w:r/>
            <w:r>
              <w:t>Según plan</w:t>
            </w:r>
          </w:p>
        </w:tc>
      </w:tr>
      <w:tr>
        <w:tc>
          <w:tcPr>
            <w:tcW w:type="dxa" w:w="3216"/>
          </w:tcPr>
          <w:p>
            <w:r/>
            <w:r>
              <w:t>Bajo</w:t>
            </w:r>
          </w:p>
        </w:tc>
        <w:tc>
          <w:tcPr>
            <w:tcW w:type="dxa" w:w="3216"/>
          </w:tcPr>
          <w:p>
            <w:r/>
            <w:r>
              <w:t>0.1–3.9</w:t>
            </w:r>
          </w:p>
        </w:tc>
        <w:tc>
          <w:tcPr>
            <w:tcW w:type="dxa" w:w="3216"/>
          </w:tcPr>
          <w:p>
            <w:r/>
            <w:r>
              <w:t>A revisar</w:t>
            </w:r>
          </w:p>
        </w:tc>
      </w:tr>
    </w:tbl>
    <w:p>
      <w:pPr>
        <w:ind w:left="432"/>
      </w:pPr>
      <w:r>
        <w:rPr>
          <w:i/>
          <w:color w:val="606060"/>
        </w:rPr>
        <w:t>El parche se prueba en el laboratorio (TOOLS-02) antes de producción, y se documenta en PR-06.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volcarlo a las plantillas del kit</w:t>
      </w:r>
    </w:p>
    <w:p>
      <w:pPr>
        <w:pStyle w:val="ListBullet"/>
      </w:pPr>
      <w:r>
        <w:rPr>
          <w:b/>
        </w:rPr>
        <w:t>PR-06 (Gestión de Vulnerabilidades)</w:t>
      </w:r>
      <w:r>
        <w:t>: el proceso (escanear, priorizar, parchear, re-escanear) y los reportes como evidencia.</w:t>
      </w:r>
    </w:p>
    <w:p>
      <w:pPr>
        <w:pStyle w:val="ListBullet"/>
      </w:pPr>
      <w:r>
        <w:rPr>
          <w:b/>
        </w:rPr>
        <w:t>PR-07 (Desarrollo Seguro / SDLC)</w:t>
      </w:r>
      <w:r>
        <w:t>: Semgrep (SAST) y ZAP (DAST) se integran en el ciclo de desarrollo.</w:t>
      </w:r>
    </w:p>
    <w:p>
      <w:pPr>
        <w:pStyle w:val="ListBullet"/>
      </w:pPr>
      <w:r>
        <w:rPr>
          <w:b/>
        </w:rPr>
        <w:t>DE-03 (Pruebas de Seguridad)</w:t>
      </w:r>
      <w:r>
        <w:t>: los reportes de OpenVAS y ZAP sustentan el programa de pruebas.</w:t>
      </w:r>
    </w:p>
    <w:p>
      <w:pPr>
        <w:pStyle w:val="ListBullet"/>
      </w:pPr>
      <w:r>
        <w:rPr>
          <w:b/>
        </w:rPr>
        <w:t>BCU-04 / ID-04</w:t>
      </w:r>
      <w:r>
        <w:t>: la evidencia de parcheo y tratamiento.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Lista de verificación del módulo</w:t>
      </w:r>
    </w:p>
    <w:p>
      <w:pPr>
        <w:pStyle w:val="ListBullet"/>
      </w:pPr>
      <w:r>
        <w:t>☐ OpenVAS (Greenbone) corriendo y con la base de CVE actualizada.</w:t>
      </w:r>
    </w:p>
    <w:p>
      <w:pPr>
        <w:pStyle w:val="ListBullet"/>
      </w:pPr>
      <w:r>
        <w:t>☐ Target y tarea de escaneo creados; al menos un escaneo completado.</w:t>
      </w:r>
    </w:p>
    <w:p>
      <w:pPr>
        <w:pStyle w:val="ListBullet"/>
      </w:pPr>
      <w:r>
        <w:t>☐ Reporte OpenVAS exportado (PDF/XML).</w:t>
      </w:r>
    </w:p>
    <w:p>
      <w:pPr>
        <w:pStyle w:val="ListBullet"/>
      </w:pPr>
      <w:r>
        <w:t>☐ Trivy instalado y un escaneo de imagen de prueba.</w:t>
      </w:r>
    </w:p>
    <w:p>
      <w:pPr>
        <w:pStyle w:val="ListBullet"/>
      </w:pPr>
      <w:r>
        <w:t>☐ OWASP ZAP instalado y una app de prueba atacada.</w:t>
      </w:r>
    </w:p>
    <w:p>
      <w:pPr>
        <w:pStyle w:val="ListBullet"/>
      </w:pPr>
      <w:r>
        <w:t>☐ Semgrep instalado y un escaneo de un proyecto de prueba.</w:t>
      </w:r>
    </w:p>
    <w:p>
      <w:pPr>
        <w:pStyle w:val="ListBullet"/>
      </w:pPr>
      <w:r>
        <w:t>☐ Vulnerabilidades priorizadas por CVSS y volcadas a PR-06 (borrador).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PR-06, PR-07, DE-03, ID-04, BCU-04, URCDP-01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