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TOOLS-11 · Respuesta a Incidentes: TheHive + Cortex, Volatility, Autopsy</w:t>
      </w:r>
    </w:p>
    <w:p>
      <w:pPr>
        <w:ind w:left="432"/>
      </w:pPr>
      <w:r>
        <w:rPr>
          <w:i/>
          <w:color w:val="606060"/>
        </w:rPr>
        <w:t>**Función del MCU 5.0:** Responder (RS.MA, RS.AN): respuesta a incidentes y análisis forense.</w:t>
      </w:r>
    </w:p>
    <w:p>
      <w:pPr>
        <w:ind w:left="432"/>
      </w:pPr>
      <w:r>
        <w:rPr>
          <w:i/>
          <w:color w:val="606060"/>
        </w:rPr>
        <w:t>**ISO/IEC 27001:** Anexo A.5.24–A.5.28 (plan de respuesta, gestión de incidentes, lecciones aprendidas) y A.5.9 (evidencia).</w:t>
      </w:r>
    </w:p>
    <w:p>
      <w:pPr>
        <w:ind w:left="432"/>
      </w:pPr>
      <w:r>
        <w:rPr>
          <w:i/>
          <w:color w:val="606060"/>
        </w:rPr>
        <w:t>**BCU:** La guía EMG y la Circular 2227 exigen gestión de incidentes y respuesta ante el BCU.</w:t>
      </w:r>
    </w:p>
    <w:p>
      <w:pPr>
        <w:ind w:left="432"/>
      </w:pPr>
      <w:r>
        <w:rPr>
          <w:i/>
          <w:color w:val="606060"/>
        </w:rPr>
        <w:t>**URCDP:** Ley 19.670 art. 38 exige **notificar vulneraciones** de datos personales en 72 h; el registro de incidentes y la evidencia forense son la base.</w:t>
      </w:r>
    </w:p>
    <w:p>
      <w:pPr>
        <w:ind w:left="432"/>
      </w:pPr>
      <w:r>
        <w:rPr>
          <w:i/>
          <w:color w:val="606060"/>
        </w:rPr>
        <w:t>**Decreto 66/025:** Exige notificación de incidentes al CERTuy y trazabilidad.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Qué es y para qué sirve</w:t>
      </w:r>
    </w:p>
    <w:p>
      <w:pPr>
        <w:pStyle w:val="ListBullet"/>
      </w:pPr>
      <w:r>
        <w:rPr>
          <w:b/>
        </w:rPr>
        <w:t>TheHive + Cortex</w:t>
      </w:r>
      <w:r>
        <w:t xml:space="preserve"> (open source): plataforma de </w:t>
      </w:r>
      <w:r>
        <w:rPr>
          <w:b/>
        </w:rPr>
        <w:t>gestión de incidentes</w:t>
      </w:r>
      <w:r>
        <w:t>. Abrís un caso por incidente, registrás tareas, alertas y evidencias, y Cortex ejecuta análisis automáticos (hashes, dominios, IPs).</w:t>
      </w:r>
    </w:p>
    <w:p>
      <w:pPr>
        <w:pStyle w:val="ListBullet"/>
      </w:pPr>
      <w:r>
        <w:rPr>
          <w:b/>
        </w:rPr>
        <w:t>Volatility</w:t>
      </w:r>
      <w:r>
        <w:t xml:space="preserve">: forense de </w:t>
      </w:r>
      <w:r>
        <w:rPr>
          <w:b/>
        </w:rPr>
        <w:t>memoria RAM</w:t>
      </w:r>
      <w:r>
        <w:t xml:space="preserve"> (analizar qué corría en el equipo en el momento del incidente).</w:t>
      </w:r>
    </w:p>
    <w:p>
      <w:pPr>
        <w:pStyle w:val="ListBullet"/>
      </w:pPr>
      <w:r>
        <w:rPr>
          <w:b/>
        </w:rPr>
        <w:t>Autopsy</w:t>
      </w:r>
      <w:r>
        <w:t xml:space="preserve"> (o FTK Imager): forense de </w:t>
      </w:r>
      <w:r>
        <w:rPr>
          <w:b/>
        </w:rPr>
        <w:t>disco</w:t>
      </w:r>
      <w:r>
        <w:t xml:space="preserve"> (recuperar y analizar archivos preservando la evidencia).</w:t>
      </w:r>
    </w:p>
    <w:p>
      <w:pPr>
        <w:ind w:left="432"/>
      </w:pPr>
      <w:r>
        <w:rPr>
          <w:i/>
          <w:color w:val="606060"/>
        </w:rPr>
        <w:t>**Regla de oro de la evidencia:** durante la respuesta, **no alterar la evidencia**: se duplica el disco (imagen forense) y se trabaja sobre la copia. Se documenta todo en el caso de TheHive.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Instalar TheHive + Cortex (en la VM del laboratorio)</w:t>
      </w:r>
    </w:p>
    <w:p>
      <w:r>
        <w:t xml:space="preserve">TheHive y Cortex se instalan mejor con Docker Compose. Creá </w:t>
      </w:r>
      <w:r>
        <w:rPr>
          <w:rFonts w:ascii="Consolas" w:hAnsi="Consolas"/>
          <w:sz w:val="20"/>
        </w:rPr>
        <w:t>/opt/thehive/docker-compose.yml</w:t>
      </w:r>
      <w:r>
        <w:t>:</w:t>
      </w:r>
    </w:p>
    <w:p>
      <w:pPr>
        <w:pStyle w:val="ListNumber"/>
      </w:pPr>
      <w:r>
        <w:rPr>
          <w:b/>
        </w:rPr>
        <w:t>Cortex</w:t>
      </w:r>
      <w:r>
        <w:t xml:space="preserve">: </w:t>
      </w:r>
      <w:r>
        <w:rPr>
          <w:rFonts w:ascii="Consolas" w:hAnsi="Consolas"/>
          <w:sz w:val="20"/>
        </w:rPr>
        <w:t>http://&lt;IP&gt;:9001</w:t>
      </w:r>
      <w:r>
        <w:t xml:space="preserve"> → creá la organización y el usuario.</w:t>
      </w:r>
    </w:p>
    <w:p>
      <w:pPr>
        <w:pStyle w:val="ListNumber"/>
      </w:pPr>
      <w:r>
        <w:rPr>
          <w:b/>
        </w:rPr>
        <w:t>TheHive</w:t>
      </w:r>
      <w:r>
        <w:t xml:space="preserve">: </w:t>
      </w:r>
      <w:r>
        <w:rPr>
          <w:rFonts w:ascii="Consolas" w:hAnsi="Consolas"/>
          <w:sz w:val="20"/>
        </w:rPr>
        <w:t>http://&lt;IP&gt;:9000</w:t>
      </w:r>
      <w:r>
        <w:t xml:space="preserve"> → configurá el administrador inicial (suele ser </w:t>
      </w:r>
      <w:r>
        <w:rPr>
          <w:rFonts w:ascii="Consolas" w:hAnsi="Consolas"/>
          <w:sz w:val="20"/>
        </w:rPr>
        <w:t>admin</w:t>
      </w:r>
      <w:r>
        <w:t xml:space="preserve"> en el primer arranque) y conectalo a Cortex (organización + clave de API de Cortex).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Primeros pasos en TheHive</w:t>
      </w:r>
    </w:p>
    <w:p>
      <w:pPr>
        <w:pStyle w:val="ListNumber"/>
      </w:pPr>
      <w:r>
        <w:rPr>
          <w:b/>
        </w:rPr>
        <w:t>Organizaciones</w:t>
      </w:r>
      <w:r>
        <w:t>: creá la org "Banco – CSIRT".</w:t>
      </w:r>
    </w:p>
    <w:p>
      <w:pPr>
        <w:pStyle w:val="ListNumber"/>
      </w:pPr>
      <w:r>
        <w:rPr>
          <w:b/>
        </w:rPr>
        <w:t>Analysts</w:t>
      </w:r>
      <w:r>
        <w:t>: usuarios (RSI, oficiales, TI).</w:t>
      </w:r>
    </w:p>
    <w:p>
      <w:pPr>
        <w:pStyle w:val="ListNumber"/>
      </w:pPr>
      <w:r>
        <w:rPr>
          <w:b/>
        </w:rPr>
        <w:t>TTP / Case</w:t>
      </w:r>
      <w:r>
        <w:t>: creá un caso de práctica: "Simulacro de incidente – phishing con credenciales capturadas".</w:t>
      </w:r>
    </w:p>
    <w:p>
      <w:pPr>
        <w:pStyle w:val="ListNumber"/>
      </w:pPr>
      <w:r>
        <w:t xml:space="preserve">Agregá </w:t>
      </w:r>
      <w:r>
        <w:rPr>
          <w:b/>
        </w:rPr>
        <w:t>observables</w:t>
      </w:r>
      <w:r>
        <w:t xml:space="preserve"> (dominio, IP, hash) y ejecutá un </w:t>
      </w:r>
      <w:r>
        <w:rPr>
          <w:b/>
        </w:rPr>
        <w:t>Cortex analyzer</w:t>
      </w:r>
      <w:r>
        <w:t xml:space="preserve"> (ej. "Virustotal" o "Hash lookup") para ver el enriquecimiento automático.</w:t>
      </w:r>
    </w:p>
    <w:p>
      <w:pPr>
        <w:pStyle w:val="ListNumber"/>
      </w:pPr>
      <w:r>
        <w:rPr>
          <w:b/>
        </w:rPr>
        <w:t>Tasks</w:t>
      </w:r>
      <w:r>
        <w:t>: el checklist de respuesta (contener, erradicar, recuperar, lecciones).</w:t>
      </w:r>
    </w:p>
    <w:p>
      <w:pPr>
        <w:ind w:left="432"/>
      </w:pPr>
      <w:r>
        <w:rPr>
          <w:i/>
          <w:color w:val="606060"/>
        </w:rPr>
        <w:t>Cuando llega una alerta de Wazuh (TOOLS-10), se crea un caso en TheHive automáticamente o de forma manual, con la evidencia adjunta.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Instalar Volatility (forense de memoria)</w:t>
      </w:r>
    </w:p>
    <w:p>
      <w:pPr>
        <w:ind w:left="432"/>
      </w:pPr>
      <w:r>
        <w:rPr>
          <w:i/>
          <w:color w:val="606060"/>
        </w:rPr>
        <w:t>En el laboratorio podés obtener una captura de memoria de una VM de prueba (volcado `.mem`) y practicar la detección de un proceso anómalo.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Instalar Autopsy (forense de disco)</w:t>
      </w:r>
    </w:p>
    <w:p>
      <w:pPr>
        <w:pStyle w:val="Heading3"/>
      </w:pPr>
      <w:r>
        <w:rPr>
          <w:color w:val="1F3B63"/>
        </w:rPr>
        <w:t>Windows (puesto del RSI)</w:t>
      </w:r>
    </w:p>
    <w:p>
      <w:pPr>
        <w:pStyle w:val="Heading3"/>
      </w:pPr>
      <w:r>
        <w:rPr>
          <w:color w:val="1F3B63"/>
        </w:rPr>
        <w:t>Primer caso</w:t>
      </w:r>
    </w:p>
    <w:p>
      <w:pPr>
        <w:pStyle w:val="ListNumber"/>
      </w:pPr>
      <w:r>
        <w:t xml:space="preserve">Abrí Autopsy → </w:t>
      </w:r>
      <w:r>
        <w:rPr>
          <w:b/>
        </w:rPr>
        <w:t>New Case</w:t>
      </w:r>
      <w:r>
        <w:t xml:space="preserve"> → nombre y ubicación.</w:t>
      </w:r>
    </w:p>
    <w:p>
      <w:pPr>
        <w:pStyle w:val="ListNumber"/>
      </w:pPr>
      <w:r>
        <w:rPr>
          <w:b/>
        </w:rPr>
        <w:t>Select Data Source</w:t>
      </w:r>
      <w:r>
        <w:t xml:space="preserve">: elegí una imagen de disco o una unidad de prueba (idealmente una </w:t>
      </w:r>
      <w:r>
        <w:rPr>
          <w:b/>
        </w:rPr>
        <w:t>copia/imagen</w:t>
      </w:r>
      <w:r>
        <w:t xml:space="preserve"> del disco, no el original).</w:t>
      </w:r>
    </w:p>
    <w:p>
      <w:pPr>
        <w:pStyle w:val="ListNumber"/>
      </w:pPr>
      <w:r>
        <w:rPr>
          <w:b/>
        </w:rPr>
        <w:t>Ingest Modules</w:t>
      </w:r>
      <w:r>
        <w:t>: activá las por defecto (fotos, imágenes, web history, strings).</w:t>
      </w:r>
    </w:p>
    <w:p>
      <w:pPr>
        <w:pStyle w:val="ListNumber"/>
      </w:pPr>
      <w:r>
        <w:t>Explorá los resultados: archivos borrados, historial web, búsqueda de palabras clave (ej. "password", "cuenta").</w:t>
      </w:r>
    </w:p>
    <w:p>
      <w:pPr>
        <w:ind w:left="432"/>
      </w:pPr>
      <w:r>
        <w:rPr>
          <w:i/>
          <w:color w:val="606060"/>
        </w:rPr>
        <w:t>⚠️ **Evidencia**: en un caso real, el disco se duplica primero con una herramienta de imagen forense (FTK Imager, open source) y el análisis se hace sobre la copia; el original se sella y resguarda (cadena de custodia).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Flujo de respuesta mínima para un incidente</w:t>
      </w:r>
    </w:p>
    <w:p>
      <w:pPr>
        <w:pStyle w:val="ListNumber"/>
      </w:pPr>
      <w:r>
        <w:rPr>
          <w:b/>
        </w:rPr>
        <w:t>Detectar</w:t>
      </w:r>
      <w:r>
        <w:t>: alerta de Wazuh/Suricata o denuncia del usuario.</w:t>
      </w:r>
    </w:p>
    <w:p>
      <w:pPr>
        <w:pStyle w:val="ListNumber"/>
      </w:pPr>
      <w:r>
        <w:rPr>
          <w:b/>
        </w:rPr>
        <w:t>Registrar</w:t>
      </w:r>
      <w:r>
        <w:t>: abrir caso en TheHive (inicio, hora, alcance preliminar).</w:t>
      </w:r>
    </w:p>
    <w:p>
      <w:pPr>
        <w:pStyle w:val="ListNumber"/>
      </w:pPr>
      <w:r>
        <w:rPr>
          <w:b/>
        </w:rPr>
        <w:t>Contener</w:t>
      </w:r>
      <w:r>
        <w:t>: aislar el equipo de la red, deshabilitar cuentas afectadas.</w:t>
      </w:r>
    </w:p>
    <w:p>
      <w:pPr>
        <w:pStyle w:val="ListNumber"/>
      </w:pPr>
      <w:r>
        <w:rPr>
          <w:b/>
        </w:rPr>
        <w:t>Evidenciar</w:t>
      </w:r>
      <w:r>
        <w:t>: imagen de disco (Autopsy) + captura de memoria (Volatility) sobre copias.</w:t>
      </w:r>
    </w:p>
    <w:p>
      <w:pPr>
        <w:pStyle w:val="ListNumber"/>
      </w:pPr>
      <w:r>
        <w:rPr>
          <w:b/>
        </w:rPr>
        <w:t>Erradicar y recuperar</w:t>
      </w:r>
      <w:r>
        <w:t>: limpiar, restaurar desde respaldo (TOOLS-12).</w:t>
      </w:r>
    </w:p>
    <w:p>
      <w:pPr>
        <w:pStyle w:val="ListNumber"/>
      </w:pPr>
      <w:r>
        <w:rPr>
          <w:b/>
        </w:rPr>
        <w:t>Comunicar</w:t>
      </w:r>
      <w:r>
        <w:t>: notificar según RS-02/URCDP-02 (72 h) y CERTuy (Decreto 66/025).</w:t>
      </w:r>
    </w:p>
    <w:p>
      <w:pPr>
        <w:pStyle w:val="ListNumber"/>
      </w:pPr>
      <w:r>
        <w:rPr>
          <w:b/>
        </w:rPr>
        <w:t>Lecciones</w:t>
      </w:r>
      <w:r>
        <w:t>: RC-04 (lecciones aprendidas).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Cómo volcarlo a las plantillas del kit</w:t>
      </w:r>
    </w:p>
    <w:p>
      <w:pPr>
        <w:pStyle w:val="ListBullet"/>
      </w:pPr>
      <w:r>
        <w:rPr>
          <w:b/>
        </w:rPr>
        <w:t>RS-01 (Plan de Respuesta)</w:t>
      </w:r>
      <w:r>
        <w:t>: roles, flujo y herramientas del CSIRT.</w:t>
      </w:r>
    </w:p>
    <w:p>
      <w:pPr>
        <w:pStyle w:val="ListBullet"/>
      </w:pPr>
      <w:r>
        <w:rPr>
          <w:b/>
        </w:rPr>
        <w:t>RS-03 (Forense y Evidencia)</w:t>
      </w:r>
      <w:r>
        <w:t>: procedimiento de preservación (imagen sobre copia, cadena de custodia) y herramientas usadas.</w:t>
      </w:r>
    </w:p>
    <w:p>
      <w:pPr>
        <w:pStyle w:val="ListBullet"/>
      </w:pPr>
      <w:r>
        <w:rPr>
          <w:b/>
        </w:rPr>
        <w:t>RS-02 / URCDP-02 (Notificación)</w:t>
      </w:r>
      <w:r>
        <w:t>: el caso de TheHive es la fuente para completar la notificación a la URCDP (72 h) y al CERTuy.</w:t>
      </w:r>
    </w:p>
    <w:p>
      <w:pPr>
        <w:pStyle w:val="ListBullet"/>
      </w:pPr>
      <w:r>
        <w:rPr>
          <w:b/>
        </w:rPr>
        <w:t>RC-04</w:t>
      </w:r>
      <w:r>
        <w:t>: lecciones aprendidas tras cada incidente.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8. Lista de verificación del módulo</w:t>
      </w:r>
    </w:p>
    <w:p>
      <w:pPr>
        <w:pStyle w:val="ListBullet"/>
      </w:pPr>
      <w:r>
        <w:t>☐ TheHive + Cortex instalados y conectados.</w:t>
      </w:r>
    </w:p>
    <w:p>
      <w:pPr>
        <w:pStyle w:val="ListBullet"/>
      </w:pPr>
      <w:r>
        <w:t>☐ Org "Banco – CSIRT" y usuarios creados.</w:t>
      </w:r>
    </w:p>
    <w:p>
      <w:pPr>
        <w:pStyle w:val="ListBullet"/>
      </w:pPr>
      <w:r>
        <w:t>☐ Caso de práctica creado con observables analizados por Cortex.</w:t>
      </w:r>
    </w:p>
    <w:p>
      <w:pPr>
        <w:pStyle w:val="ListBullet"/>
      </w:pPr>
      <w:r>
        <w:t>☐ Volatility instalado y análisis de práctica sobre una imagen de memoria.</w:t>
      </w:r>
    </w:p>
    <w:p>
      <w:pPr>
        <w:pStyle w:val="ListBullet"/>
      </w:pPr>
      <w:r>
        <w:t>☐ Autopsy instalado y un caso de práctica con una imagen de disco.</w:t>
      </w:r>
    </w:p>
    <w:p>
      <w:pPr>
        <w:pStyle w:val="ListBullet"/>
      </w:pPr>
      <w:r>
        <w:t>☐ Flujo de respuesta documentado en RS-01 (borrador).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RS-01, RS-02, RS-03, RC-04, URCDP-02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