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TOOLS-12 · Recuperación y Respaldo: Veeam, rsync, BorgBackup</w:t>
      </w:r>
    </w:p>
    <w:p>
      <w:pPr>
        <w:ind w:left="432"/>
      </w:pPr>
      <w:r>
        <w:rPr>
          <w:i/>
          <w:color w:val="606060"/>
        </w:rPr>
        <w:t>**Función del MCU 5.0:** Recuperar (RC.RP): planes de recuperación y respaldo; mantener la operación tras un incidente o desastre.</w:t>
      </w:r>
    </w:p>
    <w:p>
      <w:pPr>
        <w:ind w:left="432"/>
      </w:pPr>
      <w:r>
        <w:rPr>
          <w:i/>
          <w:color w:val="606060"/>
        </w:rPr>
        <w:t>**ISO/IEC 27001:** Anexo A.8.13 (respaldo de la información) y A.5.29 (continuidad).</w:t>
      </w:r>
    </w:p>
    <w:p>
      <w:pPr>
        <w:ind w:left="432"/>
      </w:pPr>
      <w:r>
        <w:rPr>
          <w:i/>
          <w:color w:val="606060"/>
        </w:rPr>
        <w:t>**BCU:** La guía EMG y el art. 492 exigen respaldos, pruebas de restauración y continuidad (BCU-06, RC-01/02).</w:t>
      </w:r>
    </w:p>
    <w:p>
      <w:pPr>
        <w:ind w:left="432"/>
      </w:pPr>
      <w:r>
        <w:rPr>
          <w:i/>
          <w:color w:val="606060"/>
        </w:rPr>
        <w:t>**URCDP:** La pérdida de datos personales por falta de respaldo es un riesgo documentable; el respaldo es una medida de seguridad.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y para qué sirve</w:t>
      </w:r>
    </w:p>
    <w:p>
      <w:pPr>
        <w:pStyle w:val="ListBullet"/>
      </w:pPr>
      <w:r>
        <w:rPr>
          <w:b/>
        </w:rPr>
        <w:t>Veeam Community Edition</w:t>
      </w:r>
      <w:r>
        <w:t>: respaldo de máquinas virtuales y servidores (gratuito hasta 10 VMs) con interfaces gráficas.</w:t>
      </w:r>
    </w:p>
    <w:p>
      <w:pPr>
        <w:pStyle w:val="ListBullet"/>
      </w:pPr>
      <w:r>
        <w:rPr>
          <w:b/>
        </w:rPr>
        <w:t>rsync</w:t>
      </w:r>
      <w:r>
        <w:t>: herramienta de copia/sincronización de archivos (Linux) — simple y poderosa.</w:t>
      </w:r>
    </w:p>
    <w:p>
      <w:pPr>
        <w:pStyle w:val="ListBullet"/>
      </w:pPr>
      <w:r>
        <w:rPr>
          <w:b/>
        </w:rPr>
        <w:t>BorgBackup</w:t>
      </w:r>
      <w:r>
        <w:t>: respaldo deduplicado y cifrado (Linux) — ideal para respaldos seguros con compresión.</w:t>
      </w:r>
    </w:p>
    <w:p>
      <w:pPr>
        <w:ind w:left="432"/>
      </w:pPr>
      <w:r>
        <w:rPr>
          <w:i/>
          <w:color w:val="606060"/>
        </w:rPr>
        <w:t>**Regla 3-2-1:** al menos **3 copias** de los datos, en **2 medios diferentes**, con **1 copia fuera de sitio** (fuera del edificio).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Instalar Veeam Community (Windows)</w:t>
      </w:r>
    </w:p>
    <w:p>
      <w:r>
        <w:t>Veeam Agent for Windows permite respaldar el equipo en el que esté instalado:</w:t>
      </w:r>
    </w:p>
    <w:p>
      <w:pPr>
        <w:pStyle w:val="ListNumber"/>
      </w:pPr>
      <w:r>
        <w:rPr>
          <w:b/>
        </w:rPr>
        <w:t>Backup Job → PC Backup</w:t>
      </w:r>
      <w:r>
        <w:t>.</w:t>
      </w:r>
    </w:p>
    <w:p>
      <w:pPr>
        <w:pStyle w:val="ListNumber"/>
      </w:pPr>
      <w:r>
        <w:t>Destino: disco externo o carpeta de red.</w:t>
      </w:r>
    </w:p>
    <w:p>
      <w:pPr>
        <w:pStyle w:val="ListNumber"/>
      </w:pPr>
      <w:r>
        <w:t>Seleccioná volúmenes a respaldar → frecuencia (diaria/semanal).</w:t>
      </w:r>
    </w:p>
    <w:p>
      <w:pPr>
        <w:pStyle w:val="ListNumber"/>
      </w:pPr>
      <w:r>
        <w:rPr>
          <w:b/>
        </w:rPr>
        <w:t>Schedule</w:t>
      </w:r>
      <w:r>
        <w:t xml:space="preserve"> y </w:t>
      </w:r>
      <w:r>
        <w:rPr>
          <w:b/>
        </w:rPr>
        <w:t>Retention</w:t>
      </w:r>
      <w:r>
        <w:t xml:space="preserve"> (cuántas copias conservar).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Instalar BorgBackup (Linux, en la VM)</w:t>
      </w:r>
    </w:p>
    <w:p>
      <w:pPr>
        <w:ind w:left="432"/>
      </w:pPr>
      <w:r>
        <w:rPr>
          <w:i/>
          <w:color w:val="606060"/>
        </w:rPr>
        <w:t>El respaldo de borg está **cifrado**: la clave de repositorio debe guardarse en el gestor (TOOLS-06).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Instalar rsync (Linux)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Prueba de restauración (la parte que casi nadie hace)</w:t>
      </w:r>
    </w:p>
    <w:p>
      <w:r>
        <w:t xml:space="preserve">Un respaldo que no se prueba </w:t>
      </w:r>
      <w:r>
        <w:rPr>
          <w:b/>
        </w:rPr>
        <w:t>no es un respaldo</w:t>
      </w:r>
      <w:r>
        <w:t>. Hacé esto al menos una vez al mes:</w:t>
      </w:r>
    </w:p>
    <w:p>
      <w:pPr>
        <w:pStyle w:val="ListNumber"/>
      </w:pPr>
      <w:r>
        <w:t xml:space="preserve">Restaurá un archivo de prueba desde el respaldo (Veeam: "Restore Files"; Borg: </w:t>
      </w:r>
      <w:r>
        <w:rPr>
          <w:rFonts w:ascii="Consolas" w:hAnsi="Consolas"/>
          <w:sz w:val="20"/>
        </w:rPr>
        <w:t>borg extract</w:t>
      </w:r>
      <w:r>
        <w:t>).</w:t>
      </w:r>
    </w:p>
    <w:p>
      <w:pPr>
        <w:pStyle w:val="ListNumber"/>
      </w:pPr>
      <w:r>
        <w:t>Verificá que el archivo restaurado abre y tiene los datos esperados.</w:t>
      </w:r>
    </w:p>
    <w:p>
      <w:pPr>
        <w:pStyle w:val="ListNumber"/>
      </w:pPr>
      <w:r>
        <w:t xml:space="preserve">Documentá la prueba (fecha, archivo restaurado, resultado) como evidencia en </w:t>
      </w:r>
      <w:r>
        <w:rPr>
          <w:b/>
        </w:rPr>
        <w:t>PR-05 / RC-02</w:t>
      </w:r>
      <w:r>
        <w:t>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Qué respaldar en el SGSI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Datos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Frecuencia sugerida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</w:tr>
      <w:tr>
        <w:tc>
          <w:tcPr>
            <w:tcW w:type="dxa" w:w="3216"/>
          </w:tcPr>
          <w:p>
            <w:r/>
            <w:r>
              <w:t>Documentos del SGSI (políticas, plantillas)</w:t>
            </w:r>
          </w:p>
        </w:tc>
        <w:tc>
          <w:tcPr>
            <w:tcW w:type="dxa" w:w="3216"/>
          </w:tcPr>
          <w:p>
            <w:r/>
            <w:r>
              <w:t>Diaria</w:t>
            </w:r>
          </w:p>
        </w:tc>
        <w:tc>
          <w:tcPr>
            <w:tcW w:type="dxa" w:w="3216"/>
          </w:tcPr>
          <w:p>
            <w:r/>
            <w:r>
              <w:t>Veeam / rsync</w:t>
            </w:r>
          </w:p>
        </w:tc>
      </w:tr>
      <w:tr>
        <w:tc>
          <w:tcPr>
            <w:tcW w:type="dxa" w:w="3216"/>
          </w:tcPr>
          <w:p>
            <w:r/>
            <w:r>
              <w:t>Base de datos de riesgos (Eramba)</w:t>
            </w:r>
          </w:p>
        </w:tc>
        <w:tc>
          <w:tcPr>
            <w:tcW w:type="dxa" w:w="3216"/>
          </w:tcPr>
          <w:p>
            <w:r/>
            <w:r>
              <w:t>Diaria</w:t>
            </w:r>
          </w:p>
        </w:tc>
        <w:tc>
          <w:tcPr>
            <w:tcW w:type="dxa" w:w="3216"/>
          </w:tcPr>
          <w:p>
            <w:r/>
            <w:r>
              <w:t>Borg / mysqldump + borg</w:t>
            </w:r>
          </w:p>
        </w:tc>
      </w:tr>
      <w:tr>
        <w:tc>
          <w:tcPr>
            <w:tcW w:type="dxa" w:w="3216"/>
          </w:tcPr>
          <w:p>
            <w:r/>
            <w:r>
              <w:t>Logs del SIEM (Wazuh)</w:t>
            </w:r>
          </w:p>
        </w:tc>
        <w:tc>
          <w:tcPr>
            <w:tcW w:type="dxa" w:w="3216"/>
          </w:tcPr>
          <w:p>
            <w:r/>
            <w:r>
              <w:t>Diaria</w:t>
            </w:r>
          </w:p>
        </w:tc>
        <w:tc>
          <w:tcPr>
            <w:tcW w:type="dxa" w:w="3216"/>
          </w:tcPr>
          <w:p>
            <w:r/>
            <w:r>
              <w:t>Borg / rsync</w:t>
            </w:r>
          </w:p>
        </w:tc>
      </w:tr>
      <w:tr>
        <w:tc>
          <w:tcPr>
            <w:tcW w:type="dxa" w:w="3216"/>
          </w:tcPr>
          <w:p>
            <w:r/>
            <w:r>
              <w:t>Configuraciones de red</w:t>
            </w:r>
          </w:p>
        </w:tc>
        <w:tc>
          <w:tcPr>
            <w:tcW w:type="dxa" w:w="3216"/>
          </w:tcPr>
          <w:p>
            <w:r/>
            <w:r>
              <w:t>Ante cada cambio</w:t>
            </w:r>
          </w:p>
        </w:tc>
        <w:tc>
          <w:tcPr>
            <w:tcW w:type="dxa" w:w="3216"/>
          </w:tcPr>
          <w:p>
            <w:r/>
            <w:r>
              <w:t>rsync</w:t>
            </w:r>
          </w:p>
        </w:tc>
      </w:tr>
      <w:tr>
        <w:tc>
          <w:tcPr>
            <w:tcW w:type="dxa" w:w="3216"/>
          </w:tcPr>
          <w:p>
            <w:r/>
            <w:r>
              <w:t>VMs del laboratorio</w:t>
            </w:r>
          </w:p>
        </w:tc>
        <w:tc>
          <w:tcPr>
            <w:tcW w:type="dxa" w:w="3216"/>
          </w:tcPr>
          <w:p>
            <w:r/>
            <w:r>
              <w:t>Semanal</w:t>
            </w:r>
          </w:p>
        </w:tc>
        <w:tc>
          <w:tcPr>
            <w:tcW w:type="dxa" w:w="3216"/>
          </w:tcPr>
          <w:p>
            <w:r/>
            <w:r>
              <w:t>Veeam / instantáneas VirtualBox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7. Cómo volcarlo a las plantillas del kit</w:t>
      </w:r>
    </w:p>
    <w:p>
      <w:pPr>
        <w:pStyle w:val="ListBullet"/>
      </w:pPr>
      <w:r>
        <w:rPr>
          <w:b/>
        </w:rPr>
        <w:t>PR-05 (Respaldo y Recuperación)</w:t>
      </w:r>
      <w:r>
        <w:t>: política de respaldo (qué, cuándo, retención), herramientas y prueba de restauración.</w:t>
      </w:r>
    </w:p>
    <w:p>
      <w:pPr>
        <w:pStyle w:val="ListBullet"/>
      </w:pPr>
      <w:r>
        <w:rPr>
          <w:b/>
        </w:rPr>
        <w:t>RC-02 (DRP)</w:t>
      </w:r>
      <w:r>
        <w:t>: los respaldos fuera de sitio sustentan la recuperación ante desastres.</w:t>
      </w:r>
    </w:p>
    <w:p>
      <w:pPr>
        <w:pStyle w:val="ListBullet"/>
      </w:pPr>
      <w:r>
        <w:rPr>
          <w:b/>
        </w:rPr>
        <w:t>BCU-06 / RC-01</w:t>
      </w:r>
      <w:r>
        <w:t>: continuidad del negocio con respaldos verificados.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Lista de verificación del módulo</w:t>
      </w:r>
    </w:p>
    <w:p>
      <w:pPr>
        <w:pStyle w:val="ListBullet"/>
      </w:pPr>
      <w:r>
        <w:t>☐ Veeam Community instalado y un job de respaldo configurado.</w:t>
      </w:r>
    </w:p>
    <w:p>
      <w:pPr>
        <w:pStyle w:val="ListBullet"/>
      </w:pPr>
      <w:r>
        <w:t>☐ BorgBackup instalado y repositorio cifrado creado.</w:t>
      </w:r>
    </w:p>
    <w:p>
      <w:pPr>
        <w:pStyle w:val="ListBullet"/>
      </w:pPr>
      <w:r>
        <w:t>☐ rsync instalado y una sincronización probada.</w:t>
      </w:r>
    </w:p>
    <w:p>
      <w:pPr>
        <w:pStyle w:val="ListBullet"/>
      </w:pPr>
      <w:r>
        <w:t>☐ Regla 3-2-1 documentada (3 copias, 2 medios, 1 fuera de sitio).</w:t>
      </w:r>
    </w:p>
    <w:p>
      <w:pPr>
        <w:pStyle w:val="ListBullet"/>
      </w:pPr>
      <w:r>
        <w:t>☐ Prueba de restauración realizada y documentada.</w:t>
      </w:r>
    </w:p>
    <w:p>
      <w:pPr>
        <w:pStyle w:val="ListBullet"/>
      </w:pPr>
      <w:r>
        <w:t>☐ Resultados volcados a PR-05 (borrador).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PR-05, RC-01, RC-02, BCU-06, URCDP-01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