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TOOLS-13 · Evidencia para la URCDP: Documento de Seguridad, ROPA y Notificación</w:t>
      </w:r>
    </w:p>
    <w:p>
      <w:pPr>
        <w:ind w:left="432"/>
      </w:pPr>
      <w:r>
        <w:rPr>
          <w:i/>
          <w:color w:val="606060"/>
        </w:rPr>
        <w:t>**Función del MCU 5.0:** Responder (RS) e Identificar (ID) aplicados al cumplimiento de protección de datos personales; soporte documental de la URCDP.</w:t>
      </w:r>
    </w:p>
    <w:p>
      <w:pPr>
        <w:ind w:left="432"/>
      </w:pPr>
      <w:r>
        <w:rPr>
          <w:i/>
          <w:color w:val="606060"/>
        </w:rPr>
        <w:t>**ISO/IEC 27001:** La protección de datos personales se integra al SGSI (identificación de requisitos legales, A.5.34–A.5.36).</w:t>
      </w:r>
    </w:p>
    <w:p>
      <w:pPr>
        <w:ind w:left="432"/>
      </w:pPr>
      <w:r>
        <w:rPr>
          <w:i/>
          <w:color w:val="606060"/>
        </w:rPr>
        <w:t>**BCU:** La evidencia de protección de datos se cruza con los EMG y con la notificación de incidentes.</w:t>
      </w:r>
    </w:p>
    <w:p>
      <w:pPr>
        <w:ind w:left="432"/>
      </w:pPr>
      <w:r>
        <w:rPr>
          <w:i/>
          <w:color w:val="606060"/>
        </w:rPr>
        <w:t>**URCDP:** Ley 18.331 (art. 10 medidas de seguridad, art. 14–17 ARCO, art. 22 inscripción), Ley 19.670 (art. 38 notificación en 72 h) y Decreto 64/020.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La conexión entre las herramientas y la URCDP</w:t>
      </w:r>
    </w:p>
    <w:p>
      <w:r>
        <w:t xml:space="preserve">Las herramientas de los módulos anteriores </w:t>
      </w:r>
      <w:r>
        <w:rPr>
          <w:b/>
        </w:rPr>
        <w:t>producen la evidencia</w:t>
      </w:r>
      <w:r>
        <w:t xml:space="preserve"> que la URCDP y la normativa de protección de datos piden. Este módulo te muestra cómo volcar cada evidencia a los documentos URCDP del kit.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 (dónde se produce)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URCDP del kit</w:t>
            </w:r>
          </w:p>
        </w:tc>
      </w:tr>
      <w:tr>
        <w:tc>
          <w:tcPr>
            <w:tcW w:type="dxa" w:w="4824"/>
          </w:tcPr>
          <w:p>
            <w:r/>
            <w:r>
              <w:t>Inventario de sistemas y activos (Nmap/GLPI, TOOLS-04)</w:t>
            </w:r>
          </w:p>
        </w:tc>
        <w:tc>
          <w:tcPr>
            <w:tcW w:type="dxa" w:w="4824"/>
          </w:tcPr>
          <w:p>
            <w:r/>
            <w:r>
              <w:t>URCDP-01 (Documento de Seguridad) · URCDP-04 (inscripción)</w:t>
            </w:r>
          </w:p>
        </w:tc>
      </w:tr>
      <w:tr>
        <w:tc>
          <w:tcPr>
            <w:tcW w:type="dxa" w:w="4824"/>
          </w:tcPr>
          <w:p>
            <w:r/>
            <w:r>
              <w:t>Análisis de riesgos (planilla Agesic/Eramba, TOOLS-05)</w:t>
            </w:r>
          </w:p>
        </w:tc>
        <w:tc>
          <w:tcPr>
            <w:tcW w:type="dxa" w:w="4824"/>
          </w:tcPr>
          <w:p>
            <w:r/>
            <w:r>
              <w:t>URCDP-01 (medidas proporcionales) · URCDP-05 (DPIA)</w:t>
            </w:r>
          </w:p>
        </w:tc>
      </w:tr>
      <w:tr>
        <w:tc>
          <w:tcPr>
            <w:tcW w:type="dxa" w:w="4824"/>
          </w:tcPr>
          <w:p>
            <w:r/>
            <w:r>
              <w:t>Control de accesos y contraseñas (Bitwarden, TOOLS-06)</w:t>
            </w:r>
          </w:p>
        </w:tc>
        <w:tc>
          <w:tcPr>
            <w:tcW w:type="dxa" w:w="4824"/>
          </w:tcPr>
          <w:p>
            <w:r/>
            <w:r>
              <w:t>URCDP-01 (medidas)</w:t>
            </w:r>
          </w:p>
        </w:tc>
      </w:tr>
      <w:tr>
        <w:tc>
          <w:tcPr>
            <w:tcW w:type="dxa" w:w="4824"/>
          </w:tcPr>
          <w:p>
            <w:r/>
            <w:r>
              <w:t>Cifrado (VeraCrypt/7-Zip, TOOLS-07)</w:t>
            </w:r>
          </w:p>
        </w:tc>
        <w:tc>
          <w:tcPr>
            <w:tcW w:type="dxa" w:w="4824"/>
          </w:tcPr>
          <w:p>
            <w:r/>
            <w:r>
              <w:t>URCDP-01 (medidas técnicas)</w:t>
            </w:r>
          </w:p>
        </w:tc>
      </w:tr>
      <w:tr>
        <w:tc>
          <w:tcPr>
            <w:tcW w:type="dxa" w:w="4824"/>
          </w:tcPr>
          <w:p>
            <w:r/>
            <w:r>
              <w:t>Concientización (Gophish, TOOLS-08)</w:t>
            </w:r>
          </w:p>
        </w:tc>
        <w:tc>
          <w:tcPr>
            <w:tcW w:type="dxa" w:w="4824"/>
          </w:tcPr>
          <w:p>
            <w:r/>
            <w:r>
              <w:t>URCDP-01 (medidas organizativas)</w:t>
            </w:r>
          </w:p>
        </w:tc>
      </w:tr>
      <w:tr>
        <w:tc>
          <w:tcPr>
            <w:tcW w:type="dxa" w:w="4824"/>
          </w:tcPr>
          <w:p>
            <w:r/>
            <w:r>
              <w:t>Vulnerabilidades y parches (OpenVAS/Trivy/ZAP, TOOLS-09)</w:t>
            </w:r>
          </w:p>
        </w:tc>
        <w:tc>
          <w:tcPr>
            <w:tcW w:type="dxa" w:w="4824"/>
          </w:tcPr>
          <w:p>
            <w:r/>
            <w:r>
              <w:t>URCDP-01 (medidas técnicas)</w:t>
            </w:r>
          </w:p>
        </w:tc>
      </w:tr>
      <w:tr>
        <w:tc>
          <w:tcPr>
            <w:tcW w:type="dxa" w:w="4824"/>
          </w:tcPr>
          <w:p>
            <w:r/>
            <w:r>
              <w:t>Logs de acceso y monitoreo (Wazuh/Sysmon, TOOLS-10)</w:t>
            </w:r>
          </w:p>
        </w:tc>
        <w:tc>
          <w:tcPr>
            <w:tcW w:type="dxa" w:w="4824"/>
          </w:tcPr>
          <w:p>
            <w:r/>
            <w:r>
              <w:t>URCDP-01 (trazabilidad) · URCDP-02 (investigación de vulneración)</w:t>
            </w:r>
          </w:p>
        </w:tc>
      </w:tr>
      <w:tr>
        <w:tc>
          <w:tcPr>
            <w:tcW w:type="dxa" w:w="4824"/>
          </w:tcPr>
          <w:p>
            <w:r/>
            <w:r>
              <w:t>Registro de incidentes (TheHive, TOOLS-11)</w:t>
            </w:r>
          </w:p>
        </w:tc>
        <w:tc>
          <w:tcPr>
            <w:tcW w:type="dxa" w:w="4824"/>
          </w:tcPr>
          <w:p>
            <w:r/>
            <w:r>
              <w:t>URCDP-02 (notificación 72 h)</w:t>
            </w:r>
          </w:p>
        </w:tc>
      </w:tr>
      <w:tr>
        <w:tc>
          <w:tcPr>
            <w:tcW w:type="dxa" w:w="4824"/>
          </w:tcPr>
          <w:p>
            <w:r/>
            <w:r>
              <w:t>Respaldos (Veeam/Borg, TOOLS-12)</w:t>
            </w:r>
          </w:p>
        </w:tc>
        <w:tc>
          <w:tcPr>
            <w:tcW w:type="dxa" w:w="4824"/>
          </w:tcPr>
          <w:p>
            <w:r/>
            <w:r>
              <w:t>URCDP-01 (disponibilidad/recuperación)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2. Preparar el inventario de tratamientos (ROPA)</w:t>
      </w:r>
    </w:p>
    <w:p>
      <w:r>
        <w:t xml:space="preserve">La URCDP espera conocer </w:t>
      </w:r>
      <w:r>
        <w:rPr>
          <w:b/>
        </w:rPr>
        <w:t>qué bases de datos hay, con qué finalidad, qué datos, quién los trata y con qué medidas</w:t>
      </w:r>
      <w:r>
        <w:t>. Para cada sistema que trata datos personales, completá una ficha: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 dónde sale</w:t>
            </w:r>
          </w:p>
        </w:tc>
      </w:tr>
      <w:tr>
        <w:tc>
          <w:tcPr>
            <w:tcW w:type="dxa" w:w="4824"/>
          </w:tcPr>
          <w:p>
            <w:r/>
            <w:r>
              <w:t>Nombre de la base/sistema</w:t>
            </w:r>
          </w:p>
        </w:tc>
        <w:tc>
          <w:tcPr>
            <w:tcW w:type="dxa" w:w="4824"/>
          </w:tcPr>
          <w:p>
            <w:r/>
            <w:r>
              <w:t>Inventario (TOOLS-04)</w:t>
            </w:r>
          </w:p>
        </w:tc>
      </w:tr>
      <w:tr>
        <w:tc>
          <w:tcPr>
            <w:tcW w:type="dxa" w:w="4824"/>
          </w:tcPr>
          <w:p>
            <w:r/>
            <w:r>
              <w:t>Finalidad del tratamiento</w:t>
            </w:r>
          </w:p>
        </w:tc>
        <w:tc>
          <w:tcPr>
            <w:tcW w:type="dxa" w:w="4824"/>
          </w:tcPr>
          <w:p>
            <w:r/>
            <w:r>
              <w:t>Relevamiento de área (Curso-relevamiento)</w:t>
            </w:r>
          </w:p>
        </w:tc>
      </w:tr>
      <w:tr>
        <w:tc>
          <w:tcPr>
            <w:tcW w:type="dxa" w:w="4824"/>
          </w:tcPr>
          <w:p>
            <w:r/>
            <w:r>
              <w:t>Datos personales tratados</w:t>
            </w:r>
          </w:p>
        </w:tc>
        <w:tc>
          <w:tcPr>
            <w:tcW w:type="dxa" w:w="4824"/>
          </w:tcPr>
          <w:p>
            <w:r/>
            <w:r>
              <w:t>Relevamiento / dossier por división</w:t>
            </w:r>
          </w:p>
        </w:tc>
      </w:tr>
      <w:tr>
        <w:tc>
          <w:tcPr>
            <w:tcW w:type="dxa" w:w="4824"/>
          </w:tcPr>
          <w:p>
            <w:r/>
            <w:r>
              <w:t>Categorías especiales (si aplica)</w:t>
            </w:r>
          </w:p>
        </w:tc>
        <w:tc>
          <w:tcPr>
            <w:tcW w:type="dxa" w:w="4824"/>
          </w:tcPr>
          <w:p>
            <w:r/>
            <w:r>
              <w:t>Relevamiento</w:t>
            </w:r>
          </w:p>
        </w:tc>
      </w:tr>
      <w:tr>
        <w:tc>
          <w:tcPr>
            <w:tcW w:type="dxa" w:w="4824"/>
          </w:tcPr>
          <w:p>
            <w:r/>
            <w:r>
              <w:t>Medidas de seguridad aplicadas</w:t>
            </w:r>
          </w:p>
        </w:tc>
        <w:tc>
          <w:tcPr>
            <w:tcW w:type="dxa" w:w="4824"/>
          </w:tcPr>
          <w:p>
            <w:r/>
            <w:r>
              <w:t>Herramientas PR (TOOLS-06 a TOOLS-09)</w:t>
            </w:r>
          </w:p>
        </w:tc>
      </w:tr>
      <w:tr>
        <w:tc>
          <w:tcPr>
            <w:tcW w:type="dxa" w:w="4824"/>
          </w:tcPr>
          <w:p>
            <w:r/>
            <w:r>
              <w:t>Plazos de conservación</w:t>
            </w:r>
          </w:p>
        </w:tc>
        <w:tc>
          <w:tcPr>
            <w:tcW w:type="dxa" w:w="4824"/>
          </w:tcPr>
          <w:p>
            <w:r/>
            <w:r>
              <w:t>Documento de Seguridad (URCDP-01)</w:t>
            </w:r>
          </w:p>
        </w:tc>
      </w:tr>
      <w:tr>
        <w:tc>
          <w:tcPr>
            <w:tcW w:type="dxa" w:w="4824"/>
          </w:tcPr>
          <w:p>
            <w:r/>
            <w:r>
              <w:t>Transferencias (internas/externas)</w:t>
            </w:r>
          </w:p>
        </w:tc>
        <w:tc>
          <w:tcPr>
            <w:tcW w:type="dxa" w:w="4824"/>
          </w:tcPr>
          <w:p>
            <w:r/>
            <w:r>
              <w:t>Relevamiento</w:t>
            </w:r>
          </w:p>
        </w:tc>
      </w:tr>
    </w:tbl>
    <w:p>
      <w:pPr>
        <w:ind w:left="432"/>
      </w:pPr>
      <w:r>
        <w:rPr>
          <w:i/>
          <w:color w:val="606060"/>
        </w:rPr>
        <w:t>El ROPA (registro de actividades de tratamiento) se arma con URCDP-01 y URCDP-04.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Cargar la evidencia de las herramientas</w:t>
      </w:r>
    </w:p>
    <w:p>
      <w:r>
        <w:t>Creá una carpeta de evidencia por sistema:</w:t>
      </w:r>
    </w:p>
    <w:p>
      <w:r>
        <w:t>Cada evidencia debe llevar: fecha, herramienta, sistema y quién la generó. Esa carpeta es lo que sustentas ante una inspección de la URCDP.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 Simular una vulneración y practicar la notificación (72 h)</w:t>
      </w:r>
    </w:p>
    <w:p>
      <w:pPr>
        <w:pStyle w:val="ListNumber"/>
      </w:pPr>
      <w:r>
        <w:t>En TheHive (TOOLS-11) abrí un caso simulado: "Acceso no autorizado a base de clientes".</w:t>
      </w:r>
    </w:p>
    <w:p>
      <w:pPr>
        <w:pStyle w:val="ListNumber"/>
      </w:pPr>
      <w:r>
        <w:t>Reuní la evidencia: logs de Wazuh (accesos), inventario del sistema, análisis de riesgo.</w:t>
      </w:r>
    </w:p>
    <w:p>
      <w:pPr>
        <w:pStyle w:val="ListNumber"/>
      </w:pPr>
      <w:r>
        <w:t xml:space="preserve">Completá </w:t>
      </w:r>
      <w:r>
        <w:rPr>
          <w:b/>
        </w:rPr>
        <w:t>URCDP-02</w:t>
      </w:r>
      <w:r>
        <w:t xml:space="preserve"> (notificación de vulneración): qué pasó, qué datos, alcance, medidas tomadas, medidas para prevenir.</w:t>
      </w:r>
    </w:p>
    <w:p>
      <w:pPr>
        <w:pStyle w:val="ListNumber"/>
      </w:pPr>
      <w:r>
        <w:t xml:space="preserve">Verificá que el borrador está listo para enviarse </w:t>
      </w:r>
      <w:r>
        <w:rPr>
          <w:b/>
        </w:rPr>
        <w:t>dentro de las 72 h</w:t>
      </w:r>
      <w:r>
        <w:t xml:space="preserve"> de detectada la vulneración (Ley 19.670 art. 38).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5. Documento de Seguridad (URCDP-01): el resumen final</w:t>
      </w:r>
    </w:p>
    <w:p>
      <w:r>
        <w:t>Con todo lo anterior, completá URCDP-01 con:</w:t>
      </w:r>
    </w:p>
    <w:p>
      <w:pPr>
        <w:pStyle w:val="ListBullet"/>
      </w:pPr>
      <w:r>
        <w:rPr>
          <w:b/>
        </w:rPr>
        <w:t>Medidas técnicas</w:t>
      </w:r>
      <w:r>
        <w:t>: cifrado (TOOLS-07), control de accesos (TOOLS-06), parches (TOOLS-09), monitoreo (TOOLS-10).</w:t>
      </w:r>
    </w:p>
    <w:p>
      <w:pPr>
        <w:pStyle w:val="ListBullet"/>
      </w:pPr>
      <w:r>
        <w:rPr>
          <w:b/>
        </w:rPr>
        <w:t>Medidas organizativas</w:t>
      </w:r>
      <w:r>
        <w:t>: concientización (TOOLS-08), roles y responsabilidades (GV-03).</w:t>
      </w:r>
    </w:p>
    <w:p>
      <w:pPr>
        <w:pStyle w:val="ListBullet"/>
      </w:pPr>
      <w:r>
        <w:rPr>
          <w:b/>
        </w:rPr>
        <w:t>Procedimientos</w:t>
      </w:r>
      <w:r>
        <w:t>: de respuesta (TOOLS-11), de notificación (URCDP-02), de respaldo (TOOLS-12).</w:t>
      </w:r>
    </w:p>
    <w:p>
      <w:pPr>
        <w:pStyle w:val="ListBullet"/>
      </w:pPr>
      <w:r>
        <w:rPr>
          <w:b/>
        </w:rPr>
        <w:t>Inventario de sistemas</w:t>
      </w:r>
      <w:r>
        <w:t xml:space="preserve"> y sus medidas.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 Cómo volcarlo a las plantillas del kit</w:t>
      </w:r>
    </w:p>
    <w:p>
      <w:pPr>
        <w:pStyle w:val="ListBullet"/>
      </w:pPr>
      <w:r>
        <w:rPr>
          <w:b/>
        </w:rPr>
        <w:t>URCDP-01 (Documento de Seguridad)</w:t>
      </w:r>
      <w:r>
        <w:t>: todas las medidas, procedimientos e inventarios.</w:t>
      </w:r>
    </w:p>
    <w:p>
      <w:pPr>
        <w:pStyle w:val="ListBullet"/>
      </w:pPr>
      <w:r>
        <w:rPr>
          <w:b/>
        </w:rPr>
        <w:t>URCDP-02 (Notificación de Vulneraciones)</w:t>
      </w:r>
      <w:r>
        <w:t>: el caso simulado y la práctica de las 72 h.</w:t>
      </w:r>
    </w:p>
    <w:p>
      <w:pPr>
        <w:pStyle w:val="ListBullet"/>
      </w:pPr>
      <w:r>
        <w:rPr>
          <w:b/>
        </w:rPr>
        <w:t>URCDP-05 (Evaluación de Impacto)</w:t>
      </w:r>
      <w:r>
        <w:t>: para tratamientos de alto riesgo, con el análisis de riesgos (TOOLS-05).</w:t>
      </w:r>
    </w:p>
    <w:p>
      <w:pPr>
        <w:pStyle w:val="ListBullet"/>
      </w:pPr>
      <w:r>
        <w:rPr>
          <w:b/>
        </w:rPr>
        <w:t>URCDP-04 (Inscripción)</w:t>
      </w:r>
      <w:r>
        <w:t>: el inventario de bases alimenta la inscripción de bases de datos.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7. Lista de verificación del módulo</w:t>
      </w:r>
    </w:p>
    <w:p>
      <w:pPr>
        <w:pStyle w:val="ListBullet"/>
      </w:pPr>
      <w:r>
        <w:t>☐ ROPA armado con al menos un sistema real de prueba.</w:t>
      </w:r>
    </w:p>
    <w:p>
      <w:pPr>
        <w:pStyle w:val="ListBullet"/>
      </w:pPr>
      <w:r>
        <w:t>☐ Carpeta 04-EVIDENCIA con evidencia de cada función.</w:t>
      </w:r>
    </w:p>
    <w:p>
      <w:pPr>
        <w:pStyle w:val="ListBullet"/>
      </w:pPr>
      <w:r>
        <w:t>☐ Caso simulado de vulneración en TheHive.</w:t>
      </w:r>
    </w:p>
    <w:p>
      <w:pPr>
        <w:pStyle w:val="ListBullet"/>
      </w:pPr>
      <w:r>
        <w:t>☐ URCDP-02 completado en borrador dentro del plazo de práctica.</w:t>
      </w:r>
    </w:p>
    <w:p>
      <w:pPr>
        <w:pStyle w:val="ListBullet"/>
      </w:pPr>
      <w:r>
        <w:t>☐ URCDP-01 con medidas técnicas y organizativas documentadas.</w:t>
      </w:r>
    </w:p>
    <w:p>
      <w:pPr>
        <w:spacing w:before="120" w:after="120"/>
      </w:pPr>
    </w:p>
    <w:p>
      <w:r>
        <w:rPr>
          <w:b/>
        </w:rPr>
        <w:t>Documentos relacionados:</w:t>
      </w:r>
      <w:r>
        <w:t xml:space="preserve"> URCDP-01, URCDP-02, URCDP-04, URCDP-05, RS-02, PR-03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