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TOOLS-14 · Plan de Adopción y Correspondencia Normativa Final</w:t>
      </w:r>
    </w:p>
    <w:p>
      <w:pPr>
        <w:ind w:left="432"/>
      </w:pPr>
      <w:r>
        <w:rPr>
          <w:i/>
          <w:color w:val="606060"/>
        </w:rPr>
        <w:t>**Función del MCU 5.0:** Gobernar (GV.OV, GV.RM): planificar, medir y demostrar; todas las funciones convergen en este módulo de cierre.</w:t>
      </w:r>
    </w:p>
    <w:p>
      <w:pPr>
        <w:ind w:left="432"/>
      </w:pPr>
      <w:r>
        <w:rPr>
          <w:i/>
          <w:color w:val="606060"/>
        </w:rPr>
        <w:t>**ISO/IEC 27001:** Cláusula 10 (mejora) y el ciclo PDCA.</w:t>
      </w:r>
    </w:p>
    <w:p>
      <w:pPr>
        <w:ind w:left="432"/>
      </w:pPr>
      <w:r>
        <w:rPr>
          <w:i/>
          <w:color w:val="606060"/>
        </w:rPr>
        <w:t>**BCU:** La evidencia consolidada es la que el BCU evalúa en las inspecciones EMG.</w:t>
      </w:r>
    </w:p>
    <w:p>
      <w:pPr>
        <w:ind w:left="432"/>
      </w:pPr>
      <w:r>
        <w:rPr>
          <w:i/>
          <w:color w:val="606060"/>
        </w:rPr>
        <w:t>**URCDP:** El repositorio de evidencia consolida el cumplimiento de protección de datos.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del módulo</w:t>
      </w:r>
    </w:p>
    <w:p>
      <w:r>
        <w:t xml:space="preserve">Este módulo cierra el curso: te muestra cómo </w:t>
      </w:r>
      <w:r>
        <w:rPr>
          <w:b/>
        </w:rPr>
        <w:t>pasar del laboratorio a la adopción</w:t>
      </w:r>
      <w:r>
        <w:t xml:space="preserve"> en el Banco, cómo mantener el inventario de herramientas actualizado y cómo </w:t>
      </w:r>
      <w:r>
        <w:rPr>
          <w:b/>
        </w:rPr>
        <w:t>demostrar cumplimiento</w:t>
      </w:r>
      <w:r>
        <w:t xml:space="preserve"> ante Agesic (MCU 5.0), el BCU (EMG) y la URCDP.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Inventario final de herramientas del curso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Función MCU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Estado sugerido en el Banco</w:t>
            </w:r>
          </w:p>
        </w:tc>
      </w:tr>
      <w:tr>
        <w:tc>
          <w:tcPr>
            <w:tcW w:type="dxa" w:w="2412"/>
          </w:tcPr>
          <w:p>
            <w:r/>
            <w:r>
              <w:t>TOOLS-02</w:t>
            </w:r>
          </w:p>
        </w:tc>
        <w:tc>
          <w:tcPr>
            <w:tcW w:type="dxa" w:w="2412"/>
          </w:tcPr>
          <w:p>
            <w:r/>
            <w:r>
              <w:t>VirtualBox</w:t>
            </w:r>
          </w:p>
        </w:tc>
        <w:tc>
          <w:tcPr>
            <w:tcW w:type="dxa" w:w="2412"/>
          </w:tcPr>
          <w:p>
            <w:r/>
            <w:r>
              <w:t>Entorno</w:t>
            </w:r>
          </w:p>
        </w:tc>
        <w:tc>
          <w:tcPr>
            <w:tcW w:type="dxa" w:w="2412"/>
          </w:tcPr>
          <w:p>
            <w:r/>
            <w:r>
              <w:t>Laboratorio (y en producción si se justifica)</w:t>
            </w:r>
          </w:p>
        </w:tc>
      </w:tr>
      <w:tr>
        <w:tc>
          <w:tcPr>
            <w:tcW w:type="dxa" w:w="2412"/>
          </w:tcPr>
          <w:p>
            <w:r/>
            <w:r>
              <w:t>TOOLS-03</w:t>
            </w:r>
          </w:p>
        </w:tc>
        <w:tc>
          <w:tcPr>
            <w:tcW w:type="dxa" w:w="2412"/>
          </w:tcPr>
          <w:p>
            <w:r/>
            <w:r>
              <w:t>Obsidian/Joplin + LibreOffice</w:t>
            </w:r>
          </w:p>
        </w:tc>
        <w:tc>
          <w:tcPr>
            <w:tcW w:type="dxa" w:w="2412"/>
          </w:tcPr>
          <w:p>
            <w:r/>
            <w:r>
              <w:t>GV</w:t>
            </w:r>
          </w:p>
        </w:tc>
        <w:tc>
          <w:tcPr>
            <w:tcW w:type="dxa" w:w="2412"/>
          </w:tcPr>
          <w:p>
            <w:r/>
            <w:r>
              <w:t>Producción (oficina del RSI)</w:t>
            </w:r>
          </w:p>
        </w:tc>
      </w:tr>
      <w:tr>
        <w:tc>
          <w:tcPr>
            <w:tcW w:type="dxa" w:w="2412"/>
          </w:tcPr>
          <w:p>
            <w:r/>
            <w:r>
              <w:t>TOOLS-04</w:t>
            </w:r>
          </w:p>
        </w:tc>
        <w:tc>
          <w:tcPr>
            <w:tcW w:type="dxa" w:w="2412"/>
          </w:tcPr>
          <w:p>
            <w:r/>
            <w:r>
              <w:t>Nmap/Zenmap + GLPI</w:t>
            </w:r>
          </w:p>
        </w:tc>
        <w:tc>
          <w:tcPr>
            <w:tcW w:type="dxa" w:w="2412"/>
          </w:tcPr>
          <w:p>
            <w:r/>
            <w:r>
              <w:t>ID</w:t>
            </w:r>
          </w:p>
        </w:tc>
        <w:tc>
          <w:tcPr>
            <w:tcW w:type="dxa" w:w="2412"/>
          </w:tcPr>
          <w:p>
            <w:r/>
            <w:r>
              <w:t>GLPI: producción; Nmap: con autorización</w:t>
            </w:r>
          </w:p>
        </w:tc>
      </w:tr>
      <w:tr>
        <w:tc>
          <w:tcPr>
            <w:tcW w:type="dxa" w:w="2412"/>
          </w:tcPr>
          <w:p>
            <w:r/>
            <w:r>
              <w:t>TOOLS-05</w:t>
            </w:r>
          </w:p>
        </w:tc>
        <w:tc>
          <w:tcPr>
            <w:tcW w:type="dxa" w:w="2412"/>
          </w:tcPr>
          <w:p>
            <w:r/>
            <w:r>
              <w:t>Planilla Agesic + Eramba</w:t>
            </w:r>
          </w:p>
        </w:tc>
        <w:tc>
          <w:tcPr>
            <w:tcW w:type="dxa" w:w="2412"/>
          </w:tcPr>
          <w:p>
            <w:r/>
            <w:r>
              <w:t>ID</w:t>
            </w:r>
          </w:p>
        </w:tc>
        <w:tc>
          <w:tcPr>
            <w:tcW w:type="dxa" w:w="2412"/>
          </w:tcPr>
          <w:p>
            <w:r/>
            <w:r>
              <w:t>Producción (marco de riesgos)</w:t>
            </w:r>
          </w:p>
        </w:tc>
      </w:tr>
      <w:tr>
        <w:tc>
          <w:tcPr>
            <w:tcW w:type="dxa" w:w="2412"/>
          </w:tcPr>
          <w:p>
            <w:r/>
            <w:r>
              <w:t>TOOLS-06</w:t>
            </w:r>
          </w:p>
        </w:tc>
        <w:tc>
          <w:tcPr>
            <w:tcW w:type="dxa" w:w="2412"/>
          </w:tcPr>
          <w:p>
            <w:r/>
            <w:r>
              <w:t>Vaultwarden/Bitwarden + TOTP</w:t>
            </w:r>
          </w:p>
        </w:tc>
        <w:tc>
          <w:tcPr>
            <w:tcW w:type="dxa" w:w="2412"/>
          </w:tcPr>
          <w:p>
            <w:r/>
            <w:r>
              <w:t>PR</w:t>
            </w:r>
          </w:p>
        </w:tc>
        <w:tc>
          <w:tcPr>
            <w:tcW w:type="dxa" w:w="2412"/>
          </w:tcPr>
          <w:p>
            <w:r/>
            <w:r>
              <w:t>Producción (prioridad alta)</w:t>
            </w:r>
          </w:p>
        </w:tc>
      </w:tr>
      <w:tr>
        <w:tc>
          <w:tcPr>
            <w:tcW w:type="dxa" w:w="2412"/>
          </w:tcPr>
          <w:p>
            <w:r/>
            <w:r>
              <w:t>TOOLS-07</w:t>
            </w:r>
          </w:p>
        </w:tc>
        <w:tc>
          <w:tcPr>
            <w:tcW w:type="dxa" w:w="2412"/>
          </w:tcPr>
          <w:p>
            <w:r/>
            <w:r>
              <w:t>VeraCrypt/7-Zip/OpenSSL/GnuPG</w:t>
            </w:r>
          </w:p>
        </w:tc>
        <w:tc>
          <w:tcPr>
            <w:tcW w:type="dxa" w:w="2412"/>
          </w:tcPr>
          <w:p>
            <w:r/>
            <w:r>
              <w:t>PR</w:t>
            </w:r>
          </w:p>
        </w:tc>
        <w:tc>
          <w:tcPr>
            <w:tcW w:type="dxa" w:w="2412"/>
          </w:tcPr>
          <w:p>
            <w:r/>
            <w:r>
              <w:t>Producción</w:t>
            </w:r>
          </w:p>
        </w:tc>
      </w:tr>
      <w:tr>
        <w:tc>
          <w:tcPr>
            <w:tcW w:type="dxa" w:w="2412"/>
          </w:tcPr>
          <w:p>
            <w:r/>
            <w:r>
              <w:t>TOOLS-08</w:t>
            </w:r>
          </w:p>
        </w:tc>
        <w:tc>
          <w:tcPr>
            <w:tcW w:type="dxa" w:w="2412"/>
          </w:tcPr>
          <w:p>
            <w:r/>
            <w:r>
              <w:t>Gophish</w:t>
            </w:r>
          </w:p>
        </w:tc>
        <w:tc>
          <w:tcPr>
            <w:tcW w:type="dxa" w:w="2412"/>
          </w:tcPr>
          <w:p>
            <w:r/>
            <w:r>
              <w:t>PR</w:t>
            </w:r>
          </w:p>
        </w:tc>
        <w:tc>
          <w:tcPr>
            <w:tcW w:type="dxa" w:w="2412"/>
          </w:tcPr>
          <w:p>
            <w:r/>
            <w:r>
              <w:t>Con autorización de dirección/legal</w:t>
            </w:r>
          </w:p>
        </w:tc>
      </w:tr>
      <w:tr>
        <w:tc>
          <w:tcPr>
            <w:tcW w:type="dxa" w:w="2412"/>
          </w:tcPr>
          <w:p>
            <w:r/>
            <w:r>
              <w:t>TOOLS-09</w:t>
            </w:r>
          </w:p>
        </w:tc>
        <w:tc>
          <w:tcPr>
            <w:tcW w:type="dxa" w:w="2412"/>
          </w:tcPr>
          <w:p>
            <w:r/>
            <w:r>
              <w:t>OpenVAS, Trivy, ZAP, Semgrep</w:t>
            </w:r>
          </w:p>
        </w:tc>
        <w:tc>
          <w:tcPr>
            <w:tcW w:type="dxa" w:w="2412"/>
          </w:tcPr>
          <w:p>
            <w:r/>
            <w:r>
              <w:t>PR/DE</w:t>
            </w:r>
          </w:p>
        </w:tc>
        <w:tc>
          <w:tcPr>
            <w:tcW w:type="dxa" w:w="2412"/>
          </w:tcPr>
          <w:p>
            <w:r/>
            <w:r>
              <w:t>Producción (con alcance autorizado)</w:t>
            </w:r>
          </w:p>
        </w:tc>
      </w:tr>
      <w:tr>
        <w:tc>
          <w:tcPr>
            <w:tcW w:type="dxa" w:w="2412"/>
          </w:tcPr>
          <w:p>
            <w:r/>
            <w:r>
              <w:t>TOOLS-10</w:t>
            </w:r>
          </w:p>
        </w:tc>
        <w:tc>
          <w:tcPr>
            <w:tcW w:type="dxa" w:w="2412"/>
          </w:tcPr>
          <w:p>
            <w:r/>
            <w:r>
              <w:t>Wazuh, Suricata, Grafana/Loki, Sysmon</w:t>
            </w:r>
          </w:p>
        </w:tc>
        <w:tc>
          <w:tcPr>
            <w:tcW w:type="dxa" w:w="2412"/>
          </w:tcPr>
          <w:p>
            <w:r/>
            <w:r>
              <w:t>DE</w:t>
            </w:r>
          </w:p>
        </w:tc>
        <w:tc>
          <w:tcPr>
            <w:tcW w:type="dxa" w:w="2412"/>
          </w:tcPr>
          <w:p>
            <w:r/>
            <w:r>
              <w:t>Producción (prioridad alta)</w:t>
            </w:r>
          </w:p>
        </w:tc>
      </w:tr>
      <w:tr>
        <w:tc>
          <w:tcPr>
            <w:tcW w:type="dxa" w:w="2412"/>
          </w:tcPr>
          <w:p>
            <w:r/>
            <w:r>
              <w:t>TOOLS-11</w:t>
            </w:r>
          </w:p>
        </w:tc>
        <w:tc>
          <w:tcPr>
            <w:tcW w:type="dxa" w:w="2412"/>
          </w:tcPr>
          <w:p>
            <w:r/>
            <w:r>
              <w:t>TheHive/Cortex, Volatility, Autopsy</w:t>
            </w:r>
          </w:p>
        </w:tc>
        <w:tc>
          <w:tcPr>
            <w:tcW w:type="dxa" w:w="2412"/>
          </w:tcPr>
          <w:p>
            <w:r/>
            <w:r>
              <w:t>RS</w:t>
            </w:r>
          </w:p>
        </w:tc>
        <w:tc>
          <w:tcPr>
            <w:tcW w:type="dxa" w:w="2412"/>
          </w:tcPr>
          <w:p>
            <w:r/>
            <w:r>
              <w:t>Producción (CSIRT)</w:t>
            </w:r>
          </w:p>
        </w:tc>
      </w:tr>
      <w:tr>
        <w:tc>
          <w:tcPr>
            <w:tcW w:type="dxa" w:w="2412"/>
          </w:tcPr>
          <w:p>
            <w:r/>
            <w:r>
              <w:t>TOOLS-12</w:t>
            </w:r>
          </w:p>
        </w:tc>
        <w:tc>
          <w:tcPr>
            <w:tcW w:type="dxa" w:w="2412"/>
          </w:tcPr>
          <w:p>
            <w:r/>
            <w:r>
              <w:t>Veeam, rsync, BorgBackup</w:t>
            </w:r>
          </w:p>
        </w:tc>
        <w:tc>
          <w:tcPr>
            <w:tcW w:type="dxa" w:w="2412"/>
          </w:tcPr>
          <w:p>
            <w:r/>
            <w:r>
              <w:t>RC</w:t>
            </w:r>
          </w:p>
        </w:tc>
        <w:tc>
          <w:tcPr>
            <w:tcW w:type="dxa" w:w="2412"/>
          </w:tcPr>
          <w:p>
            <w:r/>
            <w:r>
              <w:t>Producción (prioridad alta)</w:t>
            </w:r>
          </w:p>
        </w:tc>
      </w:tr>
    </w:tbl>
    <w:p>
      <w:pPr>
        <w:ind w:left="432"/>
      </w:pPr>
      <w:r>
        <w:rPr>
          <w:i/>
          <w:color w:val="606060"/>
        </w:rPr>
        <w:t>Este inventario se mantiene en **HERRAM-001** (inventario de herramientas del kit) y en **ID-01** (inventario de activos del SGSI).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Hoja de ruta de adopción (plan de 12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Plantilla que actualizás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Aprobar políticas y designar RSI (GV-01, GV-03)</w:t>
            </w:r>
          </w:p>
        </w:tc>
        <w:tc>
          <w:tcPr>
            <w:tcW w:type="dxa" w:w="3216"/>
          </w:tcPr>
          <w:p>
            <w:r/>
            <w:r>
              <w:t>GV-01, GV-03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Instalar Vaultwarden + TOTP en producción</w:t>
            </w:r>
          </w:p>
        </w:tc>
        <w:tc>
          <w:tcPr>
            <w:tcW w:type="dxa" w:w="3216"/>
          </w:tcPr>
          <w:p>
            <w:r/>
            <w:r>
              <w:t>PR-01, PR-03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Desplegar Wazuh en los servidores críticos</w:t>
            </w:r>
          </w:p>
        </w:tc>
        <w:tc>
          <w:tcPr>
            <w:tcW w:type="dxa" w:w="3216"/>
          </w:tcPr>
          <w:p>
            <w:r/>
            <w:r>
              <w:t>DE-01, BCU-04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GLPI + inventario de activos completo</w:t>
            </w:r>
          </w:p>
        </w:tc>
        <w:tc>
          <w:tcPr>
            <w:tcW w:type="dxa" w:w="3216"/>
          </w:tcPr>
          <w:p>
            <w:r/>
            <w:r>
              <w:t>ID-01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Primer análisis de riesgos formal (planilla Agesic/Eramba)</w:t>
            </w:r>
          </w:p>
        </w:tc>
        <w:tc>
          <w:tcPr>
            <w:tcW w:type="dxa" w:w="3216"/>
          </w:tcPr>
          <w:p>
            <w:r/>
            <w:r>
              <w:t>ID-02, ID-03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Programa de concientización + primer simulacro</w:t>
            </w:r>
          </w:p>
        </w:tc>
        <w:tc>
          <w:tcPr>
            <w:tcW w:type="dxa" w:w="3216"/>
          </w:tcPr>
          <w:p>
            <w:r/>
            <w:r>
              <w:t>PR-02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t>OpenVAS + proceso de parcheo mensual</w:t>
            </w:r>
          </w:p>
        </w:tc>
        <w:tc>
          <w:tcPr>
            <w:tcW w:type="dxa" w:w="3216"/>
          </w:tcPr>
          <w:p>
            <w:r/>
            <w:r>
              <w:t>PR-06</w:t>
            </w:r>
          </w:p>
        </w:tc>
      </w:tr>
      <w:tr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t>Respaldos 3-2-1 + primera prueba de restauración</w:t>
            </w:r>
          </w:p>
        </w:tc>
        <w:tc>
          <w:tcPr>
            <w:tcW w:type="dxa" w:w="3216"/>
          </w:tcPr>
          <w:p>
            <w:r/>
            <w:r>
              <w:t>PR-05, RC-02</w:t>
            </w:r>
          </w:p>
        </w:tc>
      </w:tr>
      <w:tr>
        <w:tc>
          <w:tcPr>
            <w:tcW w:type="dxa" w:w="3216"/>
          </w:tcPr>
          <w:p>
            <w:r/>
            <w:r>
              <w:t>9</w:t>
            </w:r>
          </w:p>
        </w:tc>
        <w:tc>
          <w:tcPr>
            <w:tcW w:type="dxa" w:w="3216"/>
          </w:tcPr>
          <w:p>
            <w:r/>
            <w:r>
              <w:t>TheHive + CSIRT operativo</w:t>
            </w:r>
          </w:p>
        </w:tc>
        <w:tc>
          <w:tcPr>
            <w:tcW w:type="dxa" w:w="3216"/>
          </w:tcPr>
          <w:p>
            <w:r/>
            <w:r>
              <w:t>RS-01, RS-03</w:t>
            </w:r>
          </w:p>
        </w:tc>
      </w:tr>
      <w:tr>
        <w:tc>
          <w:tcPr>
            <w:tcW w:type="dxa" w:w="3216"/>
          </w:tcPr>
          <w:p>
            <w:r/>
            <w:r>
              <w:t>10</w:t>
            </w:r>
          </w:p>
        </w:tc>
        <w:tc>
          <w:tcPr>
            <w:tcW w:type="dxa" w:w="3216"/>
          </w:tcPr>
          <w:p>
            <w:r/>
            <w:r>
              <w:t>Documento de Seguridad URCDP completo</w:t>
            </w:r>
          </w:p>
        </w:tc>
        <w:tc>
          <w:tcPr>
            <w:tcW w:type="dxa" w:w="3216"/>
          </w:tcPr>
          <w:p>
            <w:r/>
            <w:r>
              <w:t>URCDP-01, URCDP-04</w:t>
            </w:r>
          </w:p>
        </w:tc>
      </w:tr>
      <w:tr>
        <w:tc>
          <w:tcPr>
            <w:tcW w:type="dxa" w:w="3216"/>
          </w:tcPr>
          <w:p>
            <w:r/>
            <w:r>
              <w:t>11</w:t>
            </w:r>
          </w:p>
        </w:tc>
        <w:tc>
          <w:tcPr>
            <w:tcW w:type="dxa" w:w="3216"/>
          </w:tcPr>
          <w:p>
            <w:r/>
            <w:r>
              <w:t>Primera auditoría interna (autoevaluación MCU 5.0)</w:t>
            </w:r>
          </w:p>
        </w:tc>
        <w:tc>
          <w:tcPr>
            <w:tcW w:type="dxa" w:w="3216"/>
          </w:tcPr>
          <w:p>
            <w:r/>
            <w:r>
              <w:t>BCU-05, ID-05</w:t>
            </w:r>
          </w:p>
        </w:tc>
      </w:tr>
      <w:tr>
        <w:tc>
          <w:tcPr>
            <w:tcW w:type="dxa" w:w="3216"/>
          </w:tcPr>
          <w:p>
            <w:r/>
            <w:r>
              <w:t>12</w:t>
            </w:r>
          </w:p>
        </w:tc>
        <w:tc>
          <w:tcPr>
            <w:tcW w:type="dxa" w:w="3216"/>
          </w:tcPr>
          <w:p>
            <w:r/>
            <w:r>
              <w:t>Informe del RSI a la Dirección</w:t>
            </w:r>
          </w:p>
        </w:tc>
        <w:tc>
          <w:tcPr>
            <w:tcW w:type="dxa" w:w="3216"/>
          </w:tcPr>
          <w:p>
            <w:r/>
            <w:r>
              <w:t>GV-06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Correspondencia normativa final (resumen)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que producen las herramientas</w:t>
            </w:r>
          </w:p>
        </w:tc>
      </w:tr>
      <w:tr>
        <w:tc>
          <w:tcPr>
            <w:tcW w:type="dxa" w:w="4824"/>
          </w:tcPr>
          <w:p>
            <w:r/>
            <w:r>
              <w:t>MCU 5.0 – ID (conocer activos y riesgos)</w:t>
            </w:r>
          </w:p>
        </w:tc>
        <w:tc>
          <w:tcPr>
            <w:tcW w:type="dxa" w:w="4824"/>
          </w:tcPr>
          <w:p>
            <w:r/>
            <w:r>
              <w:t>Nmap/GLPI (TOOLS-04), Eramba/planilla (TOOLS-05)</w:t>
            </w:r>
          </w:p>
        </w:tc>
      </w:tr>
      <w:tr>
        <w:tc>
          <w:tcPr>
            <w:tcW w:type="dxa" w:w="4824"/>
          </w:tcPr>
          <w:p>
            <w:r/>
            <w:r>
              <w:t>MCU 5.0 – PR (proteger)</w:t>
            </w:r>
          </w:p>
        </w:tc>
        <w:tc>
          <w:tcPr>
            <w:tcW w:type="dxa" w:w="4824"/>
          </w:tcPr>
          <w:p>
            <w:r/>
            <w:r>
              <w:t>Bitwarden, VeraCrypt (TOOLS-06/07), OpenVAS (TOOLS-09)</w:t>
            </w:r>
          </w:p>
        </w:tc>
      </w:tr>
      <w:tr>
        <w:tc>
          <w:tcPr>
            <w:tcW w:type="dxa" w:w="4824"/>
          </w:tcPr>
          <w:p>
            <w:r/>
            <w:r>
              <w:t>MCU 5.0 – DE (detectar)</w:t>
            </w:r>
          </w:p>
        </w:tc>
        <w:tc>
          <w:tcPr>
            <w:tcW w:type="dxa" w:w="4824"/>
          </w:tcPr>
          <w:p>
            <w:r/>
            <w:r>
              <w:t>Wazuh/Suricata (TOOLS-10)</w:t>
            </w:r>
          </w:p>
        </w:tc>
      </w:tr>
      <w:tr>
        <w:tc>
          <w:tcPr>
            <w:tcW w:type="dxa" w:w="4824"/>
          </w:tcPr>
          <w:p>
            <w:r/>
            <w:r>
              <w:t>MCU 5.0 – RS (responder)</w:t>
            </w:r>
          </w:p>
        </w:tc>
        <w:tc>
          <w:tcPr>
            <w:tcW w:type="dxa" w:w="4824"/>
          </w:tcPr>
          <w:p>
            <w:r/>
            <w:r>
              <w:t>TheHive/Volatility/Autopsy (TOOLS-11)</w:t>
            </w:r>
          </w:p>
        </w:tc>
      </w:tr>
      <w:tr>
        <w:tc>
          <w:tcPr>
            <w:tcW w:type="dxa" w:w="4824"/>
          </w:tcPr>
          <w:p>
            <w:r/>
            <w:r>
              <w:t>MCU 5.0 – RC (recuperar)</w:t>
            </w:r>
          </w:p>
        </w:tc>
        <w:tc>
          <w:tcPr>
            <w:tcW w:type="dxa" w:w="4824"/>
          </w:tcPr>
          <w:p>
            <w:r/>
            <w:r>
              <w:t>Veeam/Borg (TOOLS-12)</w:t>
            </w:r>
          </w:p>
        </w:tc>
      </w:tr>
      <w:tr>
        <w:tc>
          <w:tcPr>
            <w:tcW w:type="dxa" w:w="4824"/>
          </w:tcPr>
          <w:p>
            <w:r/>
            <w:r>
              <w:t>BCU – EMG (gobierno y riesgo TIC)</w:t>
            </w:r>
          </w:p>
        </w:tc>
        <w:tc>
          <w:tcPr>
            <w:tcW w:type="dxa" w:w="4824"/>
          </w:tcPr>
          <w:p>
            <w:r/>
            <w:r>
              <w:t>Eramba (TOOLS-05), Wazuh (TOOLS-10), informe GV-06</w:t>
            </w:r>
          </w:p>
        </w:tc>
      </w:tr>
      <w:tr>
        <w:tc>
          <w:tcPr>
            <w:tcW w:type="dxa" w:w="4824"/>
          </w:tcPr>
          <w:p>
            <w:r/>
            <w:r>
              <w:t>URCDP – Documento de Seguridad</w:t>
            </w:r>
          </w:p>
        </w:tc>
        <w:tc>
          <w:tcPr>
            <w:tcW w:type="dxa" w:w="4824"/>
          </w:tcPr>
          <w:p>
            <w:r/>
            <w:r>
              <w:t>Toda la evidencia consolidada (TOOLS-13)</w:t>
            </w:r>
          </w:p>
        </w:tc>
      </w:tr>
      <w:tr>
        <w:tc>
          <w:tcPr>
            <w:tcW w:type="dxa" w:w="4824"/>
          </w:tcPr>
          <w:p>
            <w:r/>
            <w:r>
              <w:t>URCDP – Notificación 72 h</w:t>
            </w:r>
          </w:p>
        </w:tc>
        <w:tc>
          <w:tcPr>
            <w:tcW w:type="dxa" w:w="4824"/>
          </w:tcPr>
          <w:p>
            <w:r/>
            <w:r>
              <w:t>TheHive + logs (TOOLS-11/10)</w:t>
            </w:r>
          </w:p>
        </w:tc>
      </w:tr>
      <w:tr>
        <w:tc>
          <w:tcPr>
            <w:tcW w:type="dxa" w:w="4824"/>
          </w:tcPr>
          <w:p>
            <w:r/>
            <w:r>
              <w:t>Decreto 66/025 – CERTuy y trazabilidad</w:t>
            </w:r>
          </w:p>
        </w:tc>
        <w:tc>
          <w:tcPr>
            <w:tcW w:type="dxa" w:w="4824"/>
          </w:tcPr>
          <w:p>
            <w:r/>
            <w:r>
              <w:t>Wazuh + retención ≥12 meses (TOOLS-10)</w:t>
            </w:r>
          </w:p>
        </w:tc>
      </w:tr>
    </w:tbl>
    <w:p>
      <w:r>
        <w:t xml:space="preserve">Esta matriz se documenta en </w:t>
      </w:r>
      <w:r>
        <w:rPr>
          <w:b/>
        </w:rPr>
        <w:t>MATRIZ-001</w:t>
      </w:r>
      <w:r>
        <w:t>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Mantenimiento: el curso nunca "termina"</w:t>
      </w:r>
    </w:p>
    <w:p>
      <w:pPr>
        <w:pStyle w:val="ListBullet"/>
      </w:pPr>
      <w:r>
        <w:rPr>
          <w:b/>
        </w:rPr>
        <w:t>Actualizar</w:t>
      </w:r>
      <w:r>
        <w:t xml:space="preserve"> herramientas y firmas (reglas de Suricata, base de CVE de OpenVAS, actualizaciones de Wazuh) al menos mensualmente.</w:t>
      </w:r>
    </w:p>
    <w:p>
      <w:pPr>
        <w:pStyle w:val="ListBullet"/>
      </w:pPr>
      <w:r>
        <w:rPr>
          <w:b/>
        </w:rPr>
        <w:t>Re-ejecutar</w:t>
      </w:r>
      <w:r>
        <w:t xml:space="preserve"> los simulacros de phishing y las pruebas de restauración con periodicidad.</w:t>
      </w:r>
    </w:p>
    <w:p>
      <w:pPr>
        <w:pStyle w:val="ListBullet"/>
      </w:pPr>
      <w:r>
        <w:rPr>
          <w:b/>
        </w:rPr>
        <w:t>Revisar</w:t>
      </w:r>
      <w:r>
        <w:t xml:space="preserve"> el inventario de herramientas (HERRAM-001) y el mapa de prioridades (TOOLS-01) cada semestre.</w:t>
      </w:r>
    </w:p>
    <w:p>
      <w:pPr>
        <w:pStyle w:val="ListBullet"/>
      </w:pPr>
      <w:r>
        <w:rPr>
          <w:b/>
        </w:rPr>
        <w:t>Capacitar</w:t>
      </w:r>
      <w:r>
        <w:t xml:space="preserve"> a nuevos integrantes del equipo con este mismo curso.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Cómo volcarlo a las plantillas del kit</w:t>
      </w:r>
    </w:p>
    <w:p>
      <w:pPr>
        <w:pStyle w:val="ListBullet"/>
      </w:pPr>
      <w:r>
        <w:rPr>
          <w:b/>
        </w:rPr>
        <w:t>GV-04 (Plan Anual de Seguridad)</w:t>
      </w:r>
      <w:r>
        <w:t>: la hoja de ruta de 12 meses se vuelca aquí.</w:t>
      </w:r>
    </w:p>
    <w:p>
      <w:pPr>
        <w:pStyle w:val="ListBullet"/>
      </w:pPr>
      <w:r>
        <w:rPr>
          <w:b/>
        </w:rPr>
        <w:t>GV-06 (Informe del RSI)</w:t>
      </w:r>
      <w:r>
        <w:t>: el estado de cada herramienta y su evidencia alimenta el informe a la Dirección.</w:t>
      </w:r>
    </w:p>
    <w:p>
      <w:pPr>
        <w:pStyle w:val="ListBullet"/>
      </w:pPr>
      <w:r>
        <w:rPr>
          <w:b/>
        </w:rPr>
        <w:t>ID-05 (Perfil de Ciberseguridad)</w:t>
      </w:r>
      <w:r>
        <w:t>: la madurez por función sube a medida que se adoptan las herramientas.</w:t>
      </w:r>
    </w:p>
    <w:p>
      <w:pPr>
        <w:pStyle w:val="ListBullet"/>
      </w:pPr>
      <w:r>
        <w:rPr>
          <w:b/>
        </w:rPr>
        <w:t>BCU-05 (Auditoría Interna)</w:t>
      </w:r>
      <w:r>
        <w:t>: el repositorio de evidencia es la fuente de la auditoría.</w:t>
      </w:r>
    </w:p>
    <w:p>
      <w:pPr>
        <w:pStyle w:val="ListBullet"/>
      </w:pPr>
      <w:r>
        <w:rPr>
          <w:b/>
        </w:rPr>
        <w:t>MATRIZ-001</w:t>
      </w:r>
      <w:r>
        <w:t>: la correspondencia final queda documentada.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Lista de verificación del módulo</w:t>
      </w:r>
    </w:p>
    <w:p>
      <w:pPr>
        <w:pStyle w:val="ListBullet"/>
      </w:pPr>
      <w:r>
        <w:t>☐ Inventario final de herramientas cargado en HERRAM-001.</w:t>
      </w:r>
    </w:p>
    <w:p>
      <w:pPr>
        <w:pStyle w:val="ListBullet"/>
      </w:pPr>
      <w:r>
        <w:t>☐ Hoja de ruta de 12 meses definida en GV-04.</w:t>
      </w:r>
    </w:p>
    <w:p>
      <w:pPr>
        <w:pStyle w:val="ListBullet"/>
      </w:pPr>
      <w:r>
        <w:t>☐ Correspondencia normativa consolidada en MATRIZ-001.</w:t>
      </w:r>
    </w:p>
    <w:p>
      <w:pPr>
        <w:pStyle w:val="ListBullet"/>
      </w:pPr>
      <w:r>
        <w:t>☐ Responsables y plazos asignados a cada acción.</w:t>
      </w:r>
    </w:p>
    <w:p>
      <w:pPr>
        <w:pStyle w:val="ListBullet"/>
      </w:pPr>
      <w:r>
        <w:t>☐ Fecha de revisión semestral del plan agendada.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GV-04, GV-06, ID-05, BCU-05, MATRIZ-001, HERRAM-001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