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24"/>
        </w:rPr>
        <w:t>Programa de</w:t>
      </w:r>
    </w:p>
    <w:p>
      <w:pPr>
        <w:jc w:val="center"/>
      </w:pPr>
      <w:r>
        <w:rPr>
          <w:rFonts w:ascii="Arial" w:hAnsi="Arial"/>
          <w:b/>
          <w:color w:val="000000"/>
          <w:sz w:val="24"/>
        </w:rPr>
        <w:t>Sistemas Cognitivos, RAG y Grafos de Conocimiento</w:t>
      </w:r>
    </w:p>
    <w:p>
      <w:pPr>
        <w:spacing w:before="120" w:after="120"/>
        <w:pBdr>
          <w:bottom w:val="single" w:sz="6" w:space="1" w:color="000000"/>
        </w:pBdr>
      </w:pPr>
    </w:p>
    <w:p>
      <w:r>
        <w:rPr>
          <w:rFonts w:ascii="Arial" w:hAnsi="Arial"/>
          <w:b/>
          <w:sz w:val="24"/>
        </w:rPr>
        <w:t>1. NOMBRE DE LA UNIDAD CURRICULAR</w:t>
      </w:r>
    </w:p>
    <w:p>
      <w:r>
        <w:rPr>
          <w:rFonts w:ascii="Arial" w:hAnsi="Arial"/>
          <w:sz w:val="24"/>
        </w:rPr>
        <w:t>Sistemas Cognitivos, RAG y Grafos de Conocimiento</w:t>
      </w:r>
    </w:p>
    <w:p>
      <w:r>
        <w:rPr>
          <w:rFonts w:ascii="Arial" w:hAnsi="Arial"/>
          <w:b/>
          <w:sz w:val="24"/>
        </w:rPr>
        <w:t>2. CRÉDITOS</w:t>
      </w:r>
    </w:p>
    <w:p>
      <w:r>
        <w:rPr>
          <w:rFonts w:ascii="Arial" w:hAnsi="Arial"/>
          <w:sz w:val="24"/>
        </w:rPr>
        <w:t>8 créditos</w:t>
      </w:r>
    </w:p>
    <w:p>
      <w:r>
        <w:rPr>
          <w:rFonts w:ascii="Arial" w:hAnsi="Arial"/>
          <w:b/>
          <w:sz w:val="24"/>
        </w:rPr>
        <w:t>3. OBJETIVOS DE LA UNIDAD CURRICULAR</w:t>
      </w:r>
    </w:p>
    <w:p>
      <w:pPr>
        <w:pStyle w:val="ListBullet"/>
      </w:pPr>
      <w:r>
        <w:rPr>
          <w:rFonts w:ascii="Arial" w:hAnsi="Arial"/>
          <w:sz w:val="24"/>
        </w:rPr>
        <w:t>Diseñar arquitecturas de Generación Aumentada por Recuperación (RAG) para reducir alucinaciones</w:t>
      </w:r>
    </w:p>
    <w:p>
      <w:pPr>
        <w:pStyle w:val="ListBullet"/>
      </w:pPr>
      <w:r>
        <w:rPr>
          <w:rFonts w:ascii="Arial" w:hAnsi="Arial"/>
          <w:sz w:val="24"/>
        </w:rPr>
        <w:t>Modelar dominios de conocimiento mediante Ontologías (OWL/RDF) y Bases de Datos de Grafos</w:t>
      </w:r>
    </w:p>
    <w:p>
      <w:pPr>
        <w:pStyle w:val="ListBullet"/>
      </w:pPr>
      <w:r>
        <w:rPr>
          <w:rFonts w:ascii="Arial" w:hAnsi="Arial"/>
          <w:sz w:val="24"/>
        </w:rPr>
        <w:t>Implementar medidas de seguridad avanzada para modelos de lenguaje (OWASP for LLMs)</w:t>
      </w:r>
    </w:p>
    <w:p>
      <w:pPr>
        <w:pStyle w:val="ListBullet"/>
      </w:pPr>
      <w:r>
        <w:rPr>
          <w:rFonts w:ascii="Arial" w:hAnsi="Arial"/>
          <w:sz w:val="24"/>
        </w:rPr>
        <w:t>Integrar percepción computacional con sistemas de recuperación semántica</w:t>
      </w:r>
    </w:p>
    <w:p>
      <w:pPr>
        <w:pStyle w:val="ListBullet"/>
      </w:pPr>
      <w:r>
        <w:rPr>
          <w:rFonts w:ascii="Arial" w:hAnsi="Arial"/>
          <w:sz w:val="24"/>
        </w:rPr>
        <w:t>Construir sistemas multi-agente con orquestación avanzada</w:t>
      </w:r>
    </w:p>
    <w:p>
      <w:r>
        <w:rPr>
          <w:rFonts w:ascii="Arial" w:hAnsi="Arial"/>
          <w:b/>
          <w:sz w:val="24"/>
        </w:rPr>
        <w:t>4. METODOLOGÍA DE ENSEÑANZA</w:t>
      </w:r>
    </w:p>
    <w:p>
      <w:r>
        <w:rPr>
          <w:rFonts w:ascii="Arial" w:hAnsi="Arial"/>
          <w:b/>
          <w:sz w:val="24"/>
        </w:rPr>
        <w:t xml:space="preserve">Demostraciones Prácticas: </w:t>
      </w:r>
      <w:r>
        <w:rPr>
          <w:rFonts w:ascii="Arial" w:hAnsi="Arial"/>
          <w:sz w:val="24"/>
        </w:rPr>
        <w:t>Implementación de arquitecturas RAG y sistemas de grafos en laboratorio</w:t>
      </w:r>
    </w:p>
    <w:p>
      <w:r>
        <w:rPr>
          <w:rFonts w:ascii="Arial" w:hAnsi="Arial"/>
          <w:b/>
          <w:sz w:val="24"/>
        </w:rPr>
        <w:t xml:space="preserve">Presentaciones Grupales (Parcial 1): </w:t>
      </w:r>
      <w:r>
        <w:rPr>
          <w:rFonts w:ascii="Arial" w:hAnsi="Arial"/>
          <w:sz w:val="24"/>
        </w:rPr>
        <w:t>Demostración práctica de arquitectura RAG o de Grafos</w:t>
      </w:r>
    </w:p>
    <w:p>
      <w:r>
        <w:rPr>
          <w:rFonts w:ascii="Arial" w:hAnsi="Arial"/>
          <w:b/>
          <w:sz w:val="24"/>
        </w:rPr>
        <w:t xml:space="preserve">Proyecto Integrador (Evaluación Final): </w:t>
      </w:r>
      <w:r>
        <w:rPr>
          <w:rFonts w:ascii="Arial" w:hAnsi="Arial"/>
          <w:sz w:val="24"/>
        </w:rPr>
        <w:t>Defensa de un "Cerebro Cognitivo" integrando recuperación vectorial y reglas ontológicas</w:t>
      </w:r>
    </w:p>
    <w:p>
      <w:r>
        <w:rPr>
          <w:rFonts w:ascii="Arial" w:hAnsi="Arial"/>
          <w:b/>
          <w:sz w:val="24"/>
        </w:rPr>
        <w:t>5. TEMARIO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Unidad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Temas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 I: Percepción Computacional y MLOps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Semanas 1-4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YOLO, monitoreo de degradación y latencia. Integración de modelos de visión con pipelines de MLops.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 II: Arquitectura RAG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Semanas 5-8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Chunking semántico, bases vectoriales, búsqueda híbrida. Optimización de retrieve-and-generate.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 III: Semántica y Grafos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Semanas 9-12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Modelado OWL, GraphRAG, razonamiento en Neo4j. Construcción de grafos de conocimiento.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Unidad IV: Orquestación Multi-Agente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Semanas 13-16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Prompt Injection, auditoría de decisiones, seguridad LLM. LangChain y AutoGPT.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Componente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Horas de Clase (Semanales)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Horas Totales (16 Semanas)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Teórico (T)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2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32 horas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Práctico / Laboratorio Asistido (P/L)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2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32 horas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Dedicación No Presencial (Personal)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4 horas (estimado)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2"/>
              </w:rPr>
              <w:t>64 horas (estimado)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Total Estimado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8 horas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sz w:val="22"/>
              </w:rPr>
              <w:t>128 horas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Semana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Temas y Dominios (4 hs de clase)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Foco Práctico (2 hs)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I: Introducción a la Percepción Computacional. YOLO y detección de objetos en tiempo real.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Configuración de entorno YOLO.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I: MLOps. Monitoreo de degradación y latencia de modelos.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Dashboard de monitoreo con Prometheus/Grafana.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I: Pipelines de datos. ETL para modelos de visión. Versionamiento de datasets.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DVC para versionado de datos.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I: Fine-tuning y transfer learning. Optimización de modelos para producción.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Fine-tuning de YOLO.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II: Fundamentos RAG. Retrieval-Augmented Generation. Reducción de alucinaciones.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Implementación básica de RAG con LangChain.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II: Chunking semántico. Estrategias de fragmentación de documentos.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Comparación de estrategias de chunking.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7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II: Bases de datos vectoriales. FAISS, ChromaDB, Pinecone.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Búsqueda semántica con embeddings.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8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II: Búsqueda híbrida. Combinar búsqueda vectorial y keyword.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EVALUACIÓN Parcial 1: Presentaciones Grupales.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9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III: Grafos de conocimiento. RDF, OWL, SPARQL.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Creación de ontologías con Protégé.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III: Neo4j y Cypher. Modelado de grafos de conocimiento.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Queries Cypher para recuperación semántica.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11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III: GraphRAG. Integración de grafos con RAG tradicional.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GraphRAG con LangChain y Neo4j.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12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III: Razonamiento ontológico. Reglas y inferencia en grafos.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Razonamiento con OWL y reglas SWRL.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13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IV: Sistemas Multi-Agente. Orquestación con LangChain Agents.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Demostración: Agente RAG con tool calling.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IV: Seguridad LLM. OWASP Top 10 for LLMs. Prompt Injection.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Práctica: Auditoría de vulnerabilidades LLM.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15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Unidad IV: Ética y gobernanza de IA. Sesgos, transparencia, explicabilidad.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Tutoría Proyecto Final.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Semana 16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EVALUACIÓN FINAL: Defensa del "Cerebro Cognitivo" integrando RAG, Grafos y Agentes.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/>
    <w:p>
      <w:r>
        <w:rPr>
          <w:rFonts w:ascii="Arial" w:hAnsi="Arial"/>
          <w:b/>
          <w:sz w:val="24"/>
        </w:rPr>
        <w:t>6. BIBLIOGRAFÍA</w:t>
      </w:r>
    </w:p>
    <w:p>
      <w:r>
        <w:rPr>
          <w:rFonts w:ascii="Arial" w:hAnsi="Arial"/>
          <w:b/>
          <w:sz w:val="24"/>
        </w:rPr>
        <w:t>6.1 Básica</w:t>
      </w:r>
    </w:p>
    <w:p>
      <w:pPr>
        <w:pStyle w:val="ListBullet"/>
      </w:pPr>
      <w:r>
        <w:rPr>
          <w:rFonts w:ascii="Arial" w:hAnsi="Arial"/>
          <w:sz w:val="24"/>
        </w:rPr>
        <w:t>Gao, Y. et al. (2024). Retrieval-Augmented Generation for Large Language Models: A Survey. arXiv:2312.10997</w:t>
      </w:r>
    </w:p>
    <w:p>
      <w:pPr>
        <w:pStyle w:val="ListBullet"/>
      </w:pPr>
      <w:r>
        <w:rPr>
          <w:rFonts w:ascii="Arial" w:hAnsi="Arial"/>
          <w:sz w:val="24"/>
        </w:rPr>
        <w:t>Hogan, A. et al. (2021). Knowledge Graphs. Morgan &amp; Claypool Publishers.</w:t>
      </w:r>
    </w:p>
    <w:p>
      <w:r>
        <w:rPr>
          <w:rFonts w:ascii="Arial" w:hAnsi="Arial"/>
          <w:b/>
          <w:sz w:val="24"/>
        </w:rPr>
        <w:t>6.2 Complementaria</w:t>
      </w:r>
    </w:p>
    <w:p>
      <w:pPr>
        <w:pStyle w:val="ListBullet"/>
      </w:pPr>
      <w:r>
        <w:rPr>
          <w:rFonts w:ascii="Arial" w:hAnsi="Arial"/>
          <w:sz w:val="24"/>
        </w:rPr>
        <w:t>LangChain Documentation. RAG Tutorials. Disponible en: https://docs.langchain.com/docs/tutorials/rag</w:t>
      </w:r>
    </w:p>
    <w:p>
      <w:pPr>
        <w:pStyle w:val="ListBullet"/>
      </w:pPr>
      <w:r>
        <w:rPr>
          <w:rFonts w:ascii="Arial" w:hAnsi="Arial"/>
          <w:sz w:val="24"/>
        </w:rPr>
        <w:t>Neo4j Graph Data Science. Disponible en: https://neo4j.com/docs/graph-data-science/current</w:t>
      </w:r>
    </w:p>
    <w:p>
      <w:pPr>
        <w:pStyle w:val="ListBullet"/>
      </w:pPr>
      <w:r>
        <w:rPr>
          <w:rFonts w:ascii="Arial" w:hAnsi="Arial"/>
          <w:sz w:val="24"/>
        </w:rPr>
        <w:t>OWASP. (2024). LLM AI Security and Governance. Disponible en: https://owasp.org/www-project-llmai-security</w:t>
      </w:r>
    </w:p>
    <w:p>
      <w:r>
        <w:rPr>
          <w:rFonts w:ascii="Arial" w:hAnsi="Arial"/>
          <w:b/>
          <w:sz w:val="24"/>
        </w:rPr>
        <w:t>7. CONOCIMIENTOS PREVIOS EXIGIDOS Y RECOMENDADOS</w:t>
      </w:r>
    </w:p>
    <w:p>
      <w:r>
        <w:rPr>
          <w:rFonts w:ascii="Arial" w:hAnsi="Arial"/>
          <w:b/>
          <w:sz w:val="24"/>
        </w:rPr>
        <w:t xml:space="preserve">7.1 Conocimientos Previos Exigidos: </w:t>
      </w:r>
      <w:r>
        <w:rPr>
          <w:rFonts w:ascii="Arial" w:hAnsi="Arial"/>
          <w:sz w:val="24"/>
        </w:rPr>
        <w:t>Programación Avanzada, IA para la Ingeniería de Software</w:t>
      </w:r>
    </w:p>
    <w:p>
      <w:r>
        <w:rPr>
          <w:rFonts w:ascii="Arial" w:hAnsi="Arial"/>
          <w:b/>
          <w:sz w:val="24"/>
        </w:rPr>
        <w:t xml:space="preserve">7.2 Conocimientos Previos Recomendados: </w:t>
      </w:r>
      <w:r>
        <w:rPr>
          <w:rFonts w:ascii="Arial" w:hAnsi="Arial"/>
          <w:sz w:val="24"/>
        </w:rPr>
        <w:t>Bases de Datos, Redes Neuronales Básicas</w:t>
      </w:r>
    </w:p>
    <w:p>
      <w:pPr>
        <w:spacing w:before="120" w:after="120"/>
        <w:pBdr>
          <w:bottom w:val="single" w:sz="6" w:space="1" w:color="000000"/>
        </w:pBdr>
      </w:pPr>
    </w:p>
    <w:p>
      <w:r>
        <w:rPr>
          <w:rFonts w:ascii="Arial" w:hAnsi="Arial"/>
          <w:b/>
          <w:sz w:val="24"/>
        </w:rPr>
        <w:t>ANEXO A</w:t>
      </w:r>
    </w:p>
    <w:p>
      <w:r>
        <w:rPr>
          <w:rFonts w:ascii="Arial" w:hAnsi="Arial"/>
          <w:i/>
          <w:sz w:val="24"/>
        </w:rPr>
        <w:t>Para todas las Carreras</w:t>
      </w:r>
    </w:p>
    <w:p>
      <w:r>
        <w:rPr>
          <w:rFonts w:ascii="Arial" w:hAnsi="Arial"/>
          <w:b/>
          <w:sz w:val="24"/>
        </w:rPr>
        <w:t>A1) INSTITUTO</w:t>
      </w:r>
    </w:p>
    <w:p>
      <w:r>
        <w:rPr>
          <w:rFonts w:ascii="Arial" w:hAnsi="Arial"/>
          <w:sz w:val="24"/>
        </w:rPr>
        <w:t>Comisión Nacional de Carrera del Tecnólogo en Informática (UTU-UTEC-UDELAR)</w:t>
      </w:r>
    </w:p>
    <w:p>
      <w:r>
        <w:rPr>
          <w:rFonts w:ascii="Arial" w:hAnsi="Arial"/>
          <w:b/>
          <w:sz w:val="24"/>
        </w:rPr>
        <w:t>A2) CRONOGRAMA TENTATIVO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r/>
          </w:p>
        </w:tc>
      </w:tr>
    </w:tbl>
    <w:p>
      <w:r>
        <w:rPr>
          <w:rFonts w:ascii="Arial" w:hAnsi="Arial"/>
          <w:b/>
          <w:sz w:val="24"/>
        </w:rPr>
        <w:t>A3) MODALIDAD DEL CURSO Y PROCEDIMIENTO DE EVALUACIÓN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Instancia de Evaluación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Peso Relativo</w:t>
            </w:r>
          </w:p>
        </w:tc>
        <w:tc>
          <w:tcPr>
            <w:tcW w:type="dxa" w:w="3120"/>
            <w:shd w:fill="D9D9D9"/>
          </w:tcPr>
          <w:p>
            <w:r>
              <w:rPr>
                <w:rFonts w:ascii="Arial" w:hAnsi="Arial"/>
                <w:b/>
                <w:sz w:val="22"/>
              </w:rPr>
              <w:t>Criterio de Aprobación / Descripción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Parcial 1 (Semana 8)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Presentación Oral Grupal (25 min): Demostración práctica de arquitectura RAG o de Grafos de Conocimiento.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Evaluación Final (Semana 16)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40%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Defensa del "Cerebro Cognitivo": Proyecto integrador que combina recuperación vectorial, reglas ontológicas y orquestación de agentes.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Participación y Asistencia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20%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Evaluación de la participación activa y asistencia a clases.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Aprobación del Curso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sz w:val="20"/>
              </w:rPr>
              <w:t>Obtener un promedio ponderado mínimo de 60% en el total de las instancias de evaluación. La presentación grupal es obligatoria para aprobar el curso.</w:t>
            </w:r>
          </w:p>
        </w:tc>
      </w:tr>
    </w:tbl>
    <w:p>
      <w:r>
        <w:rPr>
          <w:rFonts w:ascii="Arial" w:hAnsi="Arial"/>
          <w:b/>
          <w:sz w:val="24"/>
        </w:rPr>
        <w:t>A4) CALIDAD DE LIBRE</w:t>
      </w:r>
    </w:p>
    <w:p>
      <w:r>
        <w:rPr>
          <w:rFonts w:ascii="Arial" w:hAnsi="Arial"/>
          <w:sz w:val="24"/>
        </w:rPr>
        <w:t>Esta asignatura no adhiere a la resolución del consejo sobre la condición de libre.</w:t>
      </w:r>
    </w:p>
    <w:p>
      <w:r>
        <w:rPr>
          <w:rFonts w:ascii="Arial" w:hAnsi="Arial"/>
          <w:b/>
          <w:sz w:val="24"/>
        </w:rPr>
        <w:t>A5) CUPOS DE LA UNIDAD CURRICULAR</w:t>
      </w:r>
    </w:p>
    <w:p>
      <w:r>
        <w:rPr>
          <w:rFonts w:ascii="Arial" w:hAnsi="Arial"/>
          <w:sz w:val="24"/>
        </w:rPr>
        <w:t>No tiene cupo</w:t>
      </w:r>
    </w:p>
    <w:p>
      <w:pPr>
        <w:spacing w:before="120" w:after="120"/>
        <w:pBdr>
          <w:bottom w:val="single" w:sz="6" w:space="1" w:color="000000"/>
        </w:pBdr>
      </w:pPr>
    </w:p>
    <w:p>
      <w:r>
        <w:rPr>
          <w:rFonts w:ascii="Arial" w:hAnsi="Arial"/>
          <w:b/>
          <w:sz w:val="24"/>
        </w:rPr>
        <w:t>ANEXO B para la carrera Tecnólogo en Informática</w:t>
      </w:r>
    </w:p>
    <w:p>
      <w:r>
        <w:rPr>
          <w:rFonts w:ascii="Arial" w:hAnsi="Arial"/>
          <w:b/>
          <w:sz w:val="24"/>
        </w:rPr>
        <w:t>B1) ÁREA DE FORMACIÓN</w:t>
      </w:r>
    </w:p>
    <w:p>
      <w:r>
        <w:rPr>
          <w:rFonts w:ascii="Arial" w:hAnsi="Arial"/>
          <w:sz w:val="24"/>
        </w:rPr>
        <w:t>Inteligencia Artificial y Aprendizaje Automático</w:t>
      </w:r>
    </w:p>
    <w:p>
      <w:r>
        <w:rPr>
          <w:rFonts w:ascii="Arial" w:hAnsi="Arial"/>
          <w:b/>
          <w:sz w:val="24"/>
        </w:rPr>
        <w:t>B2) UNIDADES CURRICULARES PREVIAS</w:t>
      </w:r>
    </w:p>
    <w:p>
      <w:r>
        <w:rPr>
          <w:rFonts w:ascii="Arial" w:hAnsi="Arial"/>
          <w:sz w:val="24"/>
        </w:rPr>
        <w:t>IA para la Ingeniería de Software (Curso Aprobado).</w:t>
      </w:r>
    </w:p>
    <w:p>
      <w:r>
        <w:rPr>
          <w:rFonts w:ascii="Arial" w:hAnsi="Arial"/>
          <w:i/>
          <w:sz w:val="20"/>
        </w:rPr>
        <w:t>No incluye la información de previaturas. Las unidades curriculares previas serán definidas por cada carrera que tome la unidad curricular y serán incluidas en el anexo 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