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Programa de  IA para Líderes y Dueños de PYME (No-Code)</w:t>
      </w:r>
    </w:p>
    <w:p/>
    <w:p/>
    <w:p/>
    <w:p>
      <w:pPr>
        <w:spacing w:after="120" w:before="0"/>
      </w:pPr>
      <w:r>
        <w:rPr>
          <w:rFonts w:ascii="Arial" w:hAnsi="Arial"/>
          <w:b/>
          <w:sz w:val="24"/>
        </w:rPr>
        <w:t>1. NOMBRE DE LA UNIDAD CURRICULAR</w:t>
      </w:r>
    </w:p>
    <w:p/>
    <w:p>
      <w:pPr>
        <w:spacing w:after="240" w:before="0"/>
      </w:pPr>
      <w:r>
        <w:rPr>
          <w:rFonts w:ascii="Arial" w:hAnsi="Arial"/>
          <w:b w:val="0"/>
          <w:sz w:val="24"/>
        </w:rPr>
        <w:t>IA para Líderes y Dueños de PYME (No-Code)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 xml:space="preserve">2. CRÉDITOS </w:t>
      </w:r>
    </w:p>
    <w:p/>
    <w:p>
      <w:pPr>
        <w:spacing w:after="240" w:before="0"/>
      </w:pPr>
      <w:r>
        <w:rPr>
          <w:rFonts w:ascii="Arial" w:hAnsi="Arial"/>
          <w:b w:val="0"/>
          <w:sz w:val="24"/>
        </w:rPr>
        <w:t>8 créditos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 xml:space="preserve">3. OBJETIVOS DE LA UNIDAD CURRICULAR </w:t>
      </w:r>
    </w:p>
    <w:p/>
    <w:p>
      <w:pPr>
        <w:spacing w:after="120" w:before="0"/>
      </w:pPr>
      <w:r>
        <w:rPr>
          <w:rFonts w:ascii="Arial" w:hAnsi="Arial"/>
          <w:b w:val="0"/>
          <w:sz w:val="24"/>
        </w:rPr>
        <w:t>Identificar oportunidades de automatización agéntica para reducir costos marginales en PYMEs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Orquestar flujos de trabajo de ventas, marketing y administración mediante herramientas visuales (No-Code)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Establecer protocolos de gobernanza y "Human-in-the-loop" para la supervisión de agentes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Implementar agentes de front-office para atención 24/7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Construir dashboards de mando y métricas de ROI para monitoreo de agentes</w:t>
      </w:r>
    </w:p>
    <w:p/>
    <w:p/>
    <w:p>
      <w:pPr>
        <w:spacing w:after="120" w:before="0"/>
      </w:pPr>
      <w:r>
        <w:rPr>
          <w:rFonts w:ascii="Arial" w:hAnsi="Arial"/>
          <w:b/>
          <w:sz w:val="24"/>
        </w:rPr>
        <w:t>4. METODOLOGÍA DE ENSEÑANZA</w:t>
      </w:r>
    </w:p>
    <w:p/>
    <w:p/>
    <w:p/>
    <w:p>
      <w:pPr>
        <w:spacing w:after="120" w:before="0"/>
      </w:pPr>
      <w:r>
        <w:rPr>
          <w:rFonts w:ascii="Arial" w:hAnsi="Arial"/>
          <w:b w:val="0"/>
          <w:sz w:val="24"/>
        </w:rPr>
        <w:t>Participación de los Estudiantes: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Demostraciones Prácticas: Configuración de flujos de automatización con n8n/Make en laboratorio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Seminarios (Parcial 1): Presentación sobre automatización de una unidad de negocio específica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Proyecto Final (Evaluación Final): Defensa de una "Empresa Autónoma" con flujo operativo de punta a punta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>5. TEMARIO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rFonts w:ascii="Arial" w:hAnsi="Arial"/>
                <w:b/>
                <w:sz w:val="22"/>
              </w:rPr>
              <w:t>Semanas</w:t>
            </w:r>
          </w:p>
        </w:tc>
        <w:tc>
          <w:tcPr>
            <w:tcW w:type="dxa" w:w="3120"/>
            <w:shd w:fill="D9E2F3"/>
          </w:tcPr>
          <w:p>
            <w:r>
              <w:rPr>
                <w:rFonts w:ascii="Arial" w:hAnsi="Arial"/>
                <w:b/>
                <w:sz w:val="22"/>
              </w:rPr>
              <w:t>Unidad Temática</w:t>
            </w:r>
          </w:p>
        </w:tc>
        <w:tc>
          <w:tcPr>
            <w:tcW w:type="dxa" w:w="3120"/>
            <w:shd w:fill="D9E2F3"/>
          </w:tcPr>
          <w:p>
            <w:r>
              <w:rPr>
                <w:rFonts w:ascii="Arial" w:hAnsi="Arial"/>
                <w:b/>
                <w:sz w:val="22"/>
              </w:rPr>
              <w:t>Contenido Principal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Semanas 1-4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Economía de la IA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Mapeo de flujos de valor, automatización visual (n8n/Make)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Semanas 5-8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Agentes de Front-Office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Vendedores autónomos 24/7, marketing de respuesta directa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Semanas 9-12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Administración Virtual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Lectura de facturas, gestión CRM, conciliación automática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Semanas 13-16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Dashboards de Mando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Control de salud de agentes, métricas de ROI, gobernanza</w:t>
            </w:r>
          </w:p>
        </w:tc>
      </w:tr>
    </w:tbl>
    <w:p/>
    <w:p/>
    <w:p>
      <w:pPr>
        <w:spacing w:after="120" w:before="0"/>
      </w:pPr>
      <w:r>
        <w:rPr>
          <w:rFonts w:ascii="Arial" w:hAnsi="Arial"/>
          <w:b/>
          <w:sz w:val="24"/>
        </w:rPr>
        <w:t>6. BIBLIOGRAFÍA</w:t>
      </w:r>
    </w:p>
    <w:p/>
    <w:p/>
    <w:p>
      <w:pPr>
        <w:spacing w:after="120" w:before="0"/>
      </w:pPr>
      <w:r>
        <w:rPr>
          <w:rFonts w:ascii="Arial" w:hAnsi="Arial"/>
          <w:b/>
          <w:sz w:val="24"/>
        </w:rPr>
        <w:t>6.1 Básica</w:t>
      </w:r>
    </w:p>
    <w:p/>
    <w:p>
      <w:pPr>
        <w:spacing w:after="120" w:before="0"/>
      </w:pPr>
      <w:r>
        <w:rPr>
          <w:rFonts w:ascii="Arial" w:hAnsi="Arial"/>
          <w:b w:val="0"/>
          <w:sz w:val="24"/>
        </w:rPr>
        <w:t>Davenport, T., Kirby, J. (2016). Only Humans Need Apply: Winners and Losers in the Age of Smart Machines. Harper Business.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Brynjolfsson, E., McAfee, A. (2014). The Second Machine Age: Work, Progress, and Prosperity. W.W. Norton.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>6.2 Complementaria</w:t>
      </w:r>
    </w:p>
    <w:p/>
    <w:p>
      <w:pPr>
        <w:spacing w:after="120" w:before="0"/>
      </w:pPr>
      <w:r>
        <w:rPr>
          <w:rFonts w:ascii="Arial" w:hAnsi="Arial"/>
          <w:b w:val="0"/>
          <w:sz w:val="24"/>
        </w:rPr>
        <w:t>n8n Documentation. Workflow Automation. Disponible en: https://docs.n8n.io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Make (formerly Integromat) Documentation. Disponible en: https://www.make.com/en/help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Anthropic. AI Best Practices for Business. Disponible en: https://docs.anthropic.com</w:t>
      </w:r>
    </w:p>
    <w:p/>
    <w:p/>
    <w:p>
      <w:pPr>
        <w:spacing w:after="120" w:before="0"/>
      </w:pPr>
      <w:r>
        <w:rPr>
          <w:rFonts w:ascii="Arial" w:hAnsi="Arial"/>
          <w:b/>
          <w:sz w:val="24"/>
        </w:rPr>
        <w:t>7. CONOCIMIENTOS PREVIOS EXIGIDOS Y RECOMENDADOS</w:t>
      </w:r>
    </w:p>
    <w:p/>
    <w:p>
      <w:pPr>
        <w:spacing w:after="120" w:before="0"/>
      </w:pPr>
      <w:r>
        <w:rPr>
          <w:rFonts w:ascii="Arial" w:hAnsi="Arial"/>
          <w:b w:val="0"/>
          <w:sz w:val="24"/>
        </w:rPr>
        <w:t>7.1 Conocimientos Previos Exigidos: Ninguno (curso introductorio para líderes)</w:t>
      </w:r>
    </w:p>
    <w:p/>
    <w:p>
      <w:pPr>
        <w:spacing w:after="120" w:before="0"/>
      </w:pPr>
      <w:r>
        <w:rPr>
          <w:rFonts w:ascii="Arial" w:hAnsi="Arial"/>
          <w:b w:val="0"/>
          <w:sz w:val="24"/>
        </w:rPr>
        <w:t>7.2 Conocimientos Previos Recomendados: Conocimientos básicos de negocio, gestión empresarial</w:t>
      </w:r>
    </w:p>
    <w:p/>
    <w:p/>
    <w:p>
      <w:pPr>
        <w:spacing w:after="120" w:before="0"/>
      </w:pPr>
      <w:r>
        <w:rPr>
          <w:rFonts w:ascii="Arial" w:hAnsi="Arial"/>
          <w:b/>
          <w:sz w:val="24"/>
        </w:rPr>
        <w:t xml:space="preserve">ANEXO A </w:t>
      </w:r>
    </w:p>
    <w:p>
      <w:pPr>
        <w:spacing w:after="120" w:before="0"/>
      </w:pPr>
      <w:r>
        <w:rPr>
          <w:rFonts w:ascii="Arial" w:hAnsi="Arial"/>
          <w:b w:val="0"/>
          <w:sz w:val="24"/>
        </w:rPr>
        <w:t>Para todas las Carreras</w:t>
      </w:r>
    </w:p>
    <w:p/>
    <w:p>
      <w:pPr>
        <w:spacing w:after="240" w:before="0"/>
      </w:pPr>
      <w:r>
        <w:rPr>
          <w:rFonts w:ascii="Arial" w:hAnsi="Arial"/>
          <w:b w:val="0"/>
          <w:sz w:val="24"/>
        </w:rPr>
        <w:t>Esta primera parte del anexo incluye aspectos complementarios que son generales de la unidad curricular.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>A1) INSTITUTO</w:t>
      </w:r>
    </w:p>
    <w:p/>
    <w:p>
      <w:pPr>
        <w:spacing w:after="240" w:before="0"/>
      </w:pPr>
      <w:r>
        <w:rPr>
          <w:rFonts w:ascii="Arial" w:hAnsi="Arial"/>
          <w:b w:val="0"/>
          <w:sz w:val="24"/>
        </w:rPr>
        <w:t>Comisión Nacional de Carrera del Tecnólogo en Informática (UTU-UTEC-UDELAR)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>A2) CRONOGRAMA TENTATIVO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rFonts w:ascii="Arial" w:hAnsi="Arial"/>
                <w:b/>
                <w:sz w:val="22"/>
              </w:rPr>
              <w:t>Componente</w:t>
            </w:r>
          </w:p>
        </w:tc>
        <w:tc>
          <w:tcPr>
            <w:tcW w:type="dxa" w:w="3120"/>
            <w:shd w:fill="D9E2F3"/>
          </w:tcPr>
          <w:p>
            <w:r>
              <w:rPr>
                <w:rFonts w:ascii="Arial" w:hAnsi="Arial"/>
                <w:b/>
                <w:sz w:val="22"/>
              </w:rPr>
              <w:t>Horas de Clase (Semanales)</w:t>
            </w:r>
          </w:p>
        </w:tc>
        <w:tc>
          <w:tcPr>
            <w:tcW w:type="dxa" w:w="3120"/>
            <w:shd w:fill="D9E2F3"/>
          </w:tcPr>
          <w:p>
            <w:r>
              <w:rPr>
                <w:rFonts w:ascii="Arial" w:hAnsi="Arial"/>
                <w:b/>
                <w:sz w:val="22"/>
              </w:rPr>
              <w:t>Horas Totales (16 Semanas)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Teórico (T)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2 horas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32 horas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Práctico / Laboratorio Asistido (P/L)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2 horas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32 horas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Dedicación No Presencial (Personal)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4 horas (estimado)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64 horas (estimado)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Total Estimado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8 horas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128 horas</w:t>
            </w:r>
          </w:p>
        </w:tc>
      </w:tr>
    </w:tbl>
    <w:p/>
    <w:p/>
    <w:p>
      <w:pPr>
        <w:spacing w:after="120" w:before="0"/>
      </w:pPr>
      <w:r>
        <w:rPr>
          <w:rFonts w:ascii="Arial" w:hAnsi="Arial"/>
          <w:b/>
          <w:sz w:val="24"/>
        </w:rPr>
        <w:t>A3) MODALIDAD DEL CURSO Y PROCEDIMIENTO DE EVALUACIÓN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r>
              <w:rPr>
                <w:rFonts w:ascii="Arial" w:hAnsi="Arial"/>
                <w:b/>
                <w:sz w:val="22"/>
              </w:rPr>
              <w:t>Instancia de Evaluación</w:t>
            </w:r>
          </w:p>
        </w:tc>
        <w:tc>
          <w:tcPr>
            <w:tcW w:type="dxa" w:w="3120"/>
            <w:shd w:fill="D9E2F3"/>
          </w:tcPr>
          <w:p>
            <w:r>
              <w:rPr>
                <w:rFonts w:ascii="Arial" w:hAnsi="Arial"/>
                <w:b/>
                <w:sz w:val="22"/>
              </w:rPr>
              <w:t>Peso Relativo</w:t>
            </w:r>
          </w:p>
        </w:tc>
        <w:tc>
          <w:tcPr>
            <w:tcW w:type="dxa" w:w="3120"/>
            <w:shd w:fill="D9E2F3"/>
          </w:tcPr>
          <w:p>
            <w:r>
              <w:rPr>
                <w:rFonts w:ascii="Arial" w:hAnsi="Arial"/>
                <w:b/>
                <w:sz w:val="22"/>
              </w:rPr>
              <w:t>Criterio de Aprobación / 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Seminario Grupal (Semana 8)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40%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Presentación oral grupal (25 min): Automatización de una unidad de negocio específica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Proyecto Final (Semana 16)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40%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Defensa de "Empresa Autónoma" con flujo operativo de punta a punta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Participación y Asistencia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Evaluación de la participación activa y asistencia</w:t>
            </w:r>
          </w:p>
        </w:tc>
      </w:tr>
    </w:tbl>
    <w:p/>
    <w:p/>
    <w:p>
      <w:pPr>
        <w:spacing w:after="240" w:before="0"/>
      </w:pPr>
      <w:r>
        <w:rPr>
          <w:rFonts w:ascii="Arial" w:hAnsi="Arial"/>
          <w:b w:val="0"/>
          <w:sz w:val="24"/>
        </w:rPr>
        <w:t>Aprobación del Curso: Obtener un promedio ponderado mínimo de 60% en el total de las instancias de evaluación. La presentación grupal es obligatoria.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>A4) CALIDAD DE LIBRE</w:t>
      </w:r>
    </w:p>
    <w:p/>
    <w:p>
      <w:pPr>
        <w:spacing w:after="240" w:before="0"/>
      </w:pPr>
      <w:r>
        <w:rPr>
          <w:rFonts w:ascii="Arial" w:hAnsi="Arial"/>
          <w:b w:val="0"/>
          <w:sz w:val="24"/>
        </w:rPr>
        <w:t>Esta asignatura no adhiere a la resolución del consejo sobre la condición de libre.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>A5) CUPOS DE LA UNIDAD CURRICULAR</w:t>
      </w:r>
    </w:p>
    <w:p/>
    <w:p>
      <w:pPr>
        <w:spacing w:after="240" w:before="0"/>
      </w:pPr>
      <w:r>
        <w:rPr>
          <w:rFonts w:ascii="Arial" w:hAnsi="Arial"/>
          <w:b w:val="0"/>
          <w:sz w:val="24"/>
        </w:rPr>
        <w:t>No tiene cupo</w:t>
      </w:r>
    </w:p>
    <w:p/>
    <w:p>
      <w:pPr>
        <w:spacing w:after="240" w:before="0"/>
      </w:pPr>
      <w:r>
        <w:rPr>
          <w:rFonts w:ascii="Arial" w:hAnsi="Arial"/>
          <w:b/>
          <w:sz w:val="24"/>
        </w:rPr>
        <w:t>ANEXO B para la carrera Tecnólogo en Informática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>B1) ÁREA DE FORMACIÓN</w:t>
      </w:r>
    </w:p>
    <w:p/>
    <w:p>
      <w:pPr>
        <w:spacing w:after="240" w:before="0"/>
      </w:pPr>
      <w:r>
        <w:rPr>
          <w:rFonts w:ascii="Arial" w:hAnsi="Arial"/>
          <w:b w:val="0"/>
          <w:sz w:val="24"/>
        </w:rPr>
        <w:t>Aplicaciones de Inteligencia Artificial</w:t>
      </w:r>
    </w:p>
    <w:p/>
    <w:p>
      <w:pPr>
        <w:spacing w:after="120" w:before="0"/>
      </w:pPr>
      <w:r>
        <w:rPr>
          <w:rFonts w:ascii="Arial" w:hAnsi="Arial"/>
          <w:b/>
          <w:sz w:val="24"/>
        </w:rPr>
        <w:t>B2) UNIDADES CURRICULARES PREVIAS</w:t>
      </w:r>
    </w:p>
    <w:p/>
    <w:p>
      <w:pPr>
        <w:spacing w:after="240" w:before="0"/>
      </w:pPr>
      <w:r>
        <w:rPr>
          <w:rFonts w:ascii="Arial" w:hAnsi="Arial"/>
          <w:b w:val="0"/>
          <w:sz w:val="24"/>
        </w:rPr>
        <w:t>Ninguna (puede tomarse en cualquier momento)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