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Arial" w:hAnsi="Arial"/>
          <w:b/>
          <w:sz w:val="28"/>
        </w:rPr>
        <w:t>Programa de</w:t>
      </w:r>
    </w:p>
    <w:p>
      <w:pPr>
        <w:spacing w:before="0" w:after="0"/>
        <w:jc w:val="center"/>
      </w:pPr>
      <w:r>
        <w:rPr>
          <w:rFonts w:ascii="Arial" w:hAnsi="Arial"/>
          <w:b/>
          <w:sz w:val="28"/>
        </w:rPr>
        <w:t>Ingeniería de Organizaciones Autónomas</w:t>
      </w:r>
    </w:p>
    <w:p/>
    <w:p/>
    <w:p/>
    <w:p>
      <w:pPr>
        <w:spacing w:before="0" w:after="0"/>
        <w:jc w:val="left"/>
      </w:pPr>
      <w:r>
        <w:rPr>
          <w:rFonts w:ascii="Arial" w:hAnsi="Arial"/>
          <w:b/>
          <w:sz w:val="24"/>
        </w:rPr>
        <w:t>1. NOMBRE DE LA UNIDAD CURRICULAR</w:t>
      </w:r>
    </w:p>
    <w:p/>
    <w:p>
      <w:pPr>
        <w:spacing w:before="0" w:after="0"/>
        <w:jc w:val="left"/>
      </w:pPr>
      <w:r>
        <w:rPr>
          <w:rFonts w:ascii="Arial" w:hAnsi="Arial"/>
          <w:b w:val="0"/>
          <w:sz w:val="24"/>
        </w:rPr>
        <w:t>Ingeniería de Organizaciones Autónomas</w:t>
      </w:r>
    </w:p>
    <w:p/>
    <w:p/>
    <w:p>
      <w:pPr>
        <w:spacing w:before="0" w:after="0"/>
        <w:jc w:val="left"/>
      </w:pPr>
      <w:r>
        <w:rPr>
          <w:rFonts w:ascii="Arial" w:hAnsi="Arial"/>
          <w:b/>
          <w:sz w:val="24"/>
        </w:rPr>
        <w:t>2. CRÉDITOS</w:t>
      </w:r>
    </w:p>
    <w:p/>
    <w:p>
      <w:pPr>
        <w:spacing w:before="0" w:after="0"/>
        <w:jc w:val="left"/>
      </w:pPr>
      <w:r>
        <w:rPr>
          <w:rFonts w:ascii="Arial" w:hAnsi="Arial"/>
          <w:b w:val="0"/>
          <w:sz w:val="24"/>
        </w:rPr>
        <w:t>8 créditos</w:t>
      </w:r>
    </w:p>
    <w:p/>
    <w:p/>
    <w:p>
      <w:pPr>
        <w:spacing w:before="0" w:after="0"/>
        <w:jc w:val="left"/>
      </w:pPr>
      <w:r>
        <w:rPr>
          <w:rFonts w:ascii="Arial" w:hAnsi="Arial"/>
          <w:b/>
          <w:sz w:val="24"/>
        </w:rPr>
        <w:t>3. OBJETIVOS DE LA UNIDAD CURRICULAR</w:t>
      </w:r>
    </w:p>
    <w:p/>
    <w:p>
      <w:pPr>
        <w:spacing w:after="60"/>
      </w:pPr>
      <w:r>
        <w:rPr>
          <w:rFonts w:ascii="Arial" w:hAnsi="Arial"/>
          <w:sz w:val="24"/>
        </w:rPr>
        <w:t>Construir infraestructuras industriales de agentes con persistencia de memoria a largo plazo</w:t>
      </w:r>
    </w:p>
    <w:p>
      <w:pPr>
        <w:spacing w:after="60"/>
      </w:pPr>
      <w:r>
        <w:rPr>
          <w:rFonts w:ascii="Arial" w:hAnsi="Arial"/>
          <w:sz w:val="24"/>
        </w:rPr>
        <w:t>Desplegar sistemas multi-agente escalables mediante contenedores y orquestadores</w:t>
      </w:r>
    </w:p>
    <w:p>
      <w:pPr>
        <w:spacing w:after="60"/>
      </w:pPr>
      <w:r>
        <w:rPr>
          <w:rFonts w:ascii="Arial" w:hAnsi="Arial"/>
          <w:sz w:val="24"/>
        </w:rPr>
        <w:t>Optimizar modelos pequeños (SLMs) mediante fine-tuning para tareas empresariales específicas</w:t>
      </w:r>
    </w:p>
    <w:p>
      <w:pPr>
        <w:spacing w:after="60"/>
      </w:pPr>
      <w:r>
        <w:rPr>
          <w:rFonts w:ascii="Arial" w:hAnsi="Arial"/>
          <w:sz w:val="24"/>
        </w:rPr>
        <w:t>Implementar Agent-Ops y sistemas de observabilidad</w:t>
      </w:r>
    </w:p>
    <w:p>
      <w:pPr>
        <w:spacing w:after="60"/>
      </w:pPr>
      <w:r>
        <w:rPr>
          <w:rFonts w:ascii="Arial" w:hAnsi="Arial"/>
          <w:sz w:val="24"/>
        </w:rPr>
        <w:t>Diseñar arquitecturas de escalamiento horizontal para enjambres de agentes</w:t>
      </w:r>
    </w:p>
    <w:p/>
    <w:p/>
    <w:p>
      <w:pPr>
        <w:spacing w:before="0" w:after="0"/>
        <w:jc w:val="left"/>
      </w:pPr>
      <w:r>
        <w:rPr>
          <w:rFonts w:ascii="Arial" w:hAnsi="Arial"/>
          <w:b/>
          <w:sz w:val="24"/>
        </w:rPr>
        <w:t>4. METODOLOGÍA DE ENSEÑANZA</w:t>
      </w:r>
    </w:p>
    <w:p/>
    <w:p/>
    <w:p/>
    <w:p>
      <w:pPr>
        <w:spacing w:after="60"/>
      </w:pPr>
      <w:r>
        <w:rPr>
          <w:rFonts w:ascii="Arial" w:hAnsi="Arial"/>
          <w:b/>
          <w:sz w:val="24"/>
        </w:rPr>
        <w:t>Participación de los Estudiantes:</w:t>
      </w:r>
    </w:p>
    <w:p>
      <w:pPr>
        <w:spacing w:after="60"/>
      </w:pPr>
      <w:r>
        <w:rPr>
          <w:rFonts w:ascii="Arial" w:hAnsi="Arial"/>
          <w:b w:val="0"/>
          <w:sz w:val="24"/>
        </w:rPr>
        <w:t xml:space="preserve">Demostraciones Prácticas: </w:t>
      </w:r>
      <w:r>
        <w:rPr>
          <w:rFonts w:ascii="Arial" w:hAnsi="Arial"/>
          <w:sz w:val="24"/>
        </w:rPr>
        <w:t>Despliegue de sistemas multi-agente con Docker y Kubernetes</w:t>
      </w:r>
    </w:p>
    <w:p>
      <w:pPr>
        <w:spacing w:after="60"/>
      </w:pPr>
      <w:r>
        <w:rPr>
          <w:rFonts w:ascii="Arial" w:hAnsi="Arial"/>
          <w:b w:val="0"/>
          <w:sz w:val="24"/>
        </w:rPr>
        <w:t xml:space="preserve">Presentaciones Técnicas (Parcial 1): </w:t>
      </w:r>
      <w:r>
        <w:rPr>
          <w:rFonts w:ascii="Arial" w:hAnsi="Arial"/>
          <w:sz w:val="24"/>
        </w:rPr>
        <w:t>Arquitectura de orquestación de agentes persistentes</w:t>
      </w:r>
    </w:p>
    <w:p>
      <w:pPr>
        <w:spacing w:after="60"/>
      </w:pPr>
      <w:r>
        <w:rPr>
          <w:rFonts w:ascii="Arial" w:hAnsi="Arial"/>
          <w:b w:val="0"/>
          <w:sz w:val="24"/>
        </w:rPr>
        <w:t xml:space="preserve">Proyecto Final (Evaluación Final): </w:t>
      </w:r>
      <w:r>
        <w:rPr>
          <w:rFonts w:ascii="Arial" w:hAnsi="Arial"/>
          <w:sz w:val="24"/>
        </w:rPr>
        <w:t>Defensa de infraestructura "Company-in-a-Box" desplegable y escalable</w:t>
      </w:r>
    </w:p>
    <w:p/>
    <w:p/>
    <w:p>
      <w:pPr>
        <w:spacing w:before="0" w:after="0"/>
        <w:jc w:val="left"/>
      </w:pPr>
      <w:r>
        <w:rPr>
          <w:rFonts w:ascii="Arial" w:hAnsi="Arial"/>
          <w:b/>
          <w:sz w:val="24"/>
        </w:rPr>
        <w:t>5. TEMARIO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D9D9"/>
          </w:tcPr>
          <w:p>
            <w:r>
              <w:rPr>
                <w:rFonts w:ascii="Arial" w:hAnsi="Arial"/>
                <w:b/>
                <w:sz w:val="22"/>
              </w:rPr>
              <w:t>Tema</w:t>
            </w:r>
          </w:p>
        </w:tc>
        <w:tc>
          <w:tcPr>
            <w:tcW w:type="dxa" w:w="4703"/>
            <w:shd w:fill="D9D9D9"/>
          </w:tcPr>
          <w:p>
            <w:r>
              <w:rPr>
                <w:rFonts w:ascii="Arial" w:hAnsi="Arial"/>
                <w:b/>
                <w:sz w:val="22"/>
              </w:rPr>
              <w:t>Descripción y subtemas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22"/>
              </w:rPr>
              <w:t>TEMA I: Workflows Agénticos Industriales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22"/>
              </w:rPr>
              <w:t>Persistencia de estado, gestión de memoria (Redis), patrones de agentes con estado.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22"/>
              </w:rPr>
              <w:t>TEMA II: Integración Legacy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22"/>
              </w:rPr>
              <w:t>Conexión con ERP/CRM, capas de abstracción para agentes, APIs empresariales.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22"/>
              </w:rPr>
              <w:t>TEMA III: Agent-Ops y Observabilidad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22"/>
              </w:rPr>
              <w:t>Tracing de pensamientos, kill-switches semánticos, monitoreo de agentes.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22"/>
              </w:rPr>
              <w:t>TEMA IV: Escalamiento Horizontal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22"/>
              </w:rPr>
              <w:t>Contenerización, enjambres de agentes, fine-tuning de SLMs para tareas específicas.</w:t>
            </w:r>
          </w:p>
        </w:tc>
      </w:tr>
    </w:tbl>
    <w:p/>
    <w:p/>
    <w:p>
      <w:pPr>
        <w:spacing w:before="0" w:after="0"/>
        <w:jc w:val="left"/>
      </w:pPr>
      <w:r>
        <w:rPr>
          <w:rFonts w:ascii="Arial" w:hAnsi="Arial"/>
          <w:b/>
          <w:sz w:val="24"/>
        </w:rPr>
        <w:t>6. BIBLIOGRAFÍA</w:t>
      </w:r>
    </w:p>
    <w:p/>
    <w:p/>
    <w:p>
      <w:pPr>
        <w:spacing w:before="0" w:after="0"/>
        <w:jc w:val="left"/>
      </w:pPr>
      <w:r>
        <w:rPr>
          <w:rFonts w:ascii="Arial" w:hAnsi="Arial"/>
          <w:b/>
          <w:sz w:val="24"/>
        </w:rPr>
        <w:t>6.1 Básica</w:t>
      </w:r>
    </w:p>
    <w:p/>
    <w:p>
      <w:pPr>
        <w:spacing w:after="60"/>
      </w:pPr>
      <w:r>
        <w:rPr>
          <w:rFonts w:ascii="Arial" w:hAnsi="Arial"/>
          <w:sz w:val="24"/>
        </w:rPr>
        <w:t>Richards, N. (2024). Mathematical Foundations of Reinforcement Learning. Springer.</w:t>
      </w:r>
    </w:p>
    <w:p>
      <w:pPr>
        <w:spacing w:after="60"/>
      </w:pPr>
      <w:r>
        <w:rPr>
          <w:rFonts w:ascii="Arial" w:hAnsi="Arial"/>
          <w:sz w:val="24"/>
        </w:rPr>
        <w:t>Sutton, R., Barto, A. (2018). Reinforcement Learning: An Introduction. 2nd Edition. MIT Press.</w:t>
      </w:r>
    </w:p>
    <w:p/>
    <w:p>
      <w:pPr>
        <w:spacing w:before="0" w:after="0"/>
        <w:jc w:val="left"/>
      </w:pPr>
      <w:r>
        <w:rPr>
          <w:rFonts w:ascii="Arial" w:hAnsi="Arial"/>
          <w:b/>
          <w:sz w:val="24"/>
        </w:rPr>
        <w:t>6.2 Complementaria</w:t>
      </w:r>
    </w:p>
    <w:p/>
    <w:p>
      <w:pPr>
        <w:spacing w:after="60"/>
      </w:pPr>
      <w:r>
        <w:rPr>
          <w:rFonts w:ascii="Arial" w:hAnsi="Arial"/>
          <w:sz w:val="24"/>
        </w:rPr>
        <w:t>Docker Documentation. Container Orchestration. Disponible en: https://docs.docker.com</w:t>
      </w:r>
    </w:p>
    <w:p>
      <w:pPr>
        <w:spacing w:after="60"/>
      </w:pPr>
      <w:r>
        <w:rPr>
          <w:rFonts w:ascii="Arial" w:hAnsi="Arial"/>
          <w:sz w:val="24"/>
        </w:rPr>
        <w:t>Kubernetes Documentation. Disponible en: https://kubernetes.io/docs</w:t>
      </w:r>
    </w:p>
    <w:p>
      <w:pPr>
        <w:spacing w:after="60"/>
      </w:pPr>
      <w:r>
        <w:rPr>
          <w:rFonts w:ascii="Arial" w:hAnsi="Arial"/>
          <w:sz w:val="24"/>
        </w:rPr>
        <w:t>Hugging Face. Fine-tuning Guides. Disponible en: https://huggingface.co/docs/transformers/en/training</w:t>
      </w:r>
    </w:p>
    <w:p/>
    <w:p/>
    <w:p>
      <w:pPr>
        <w:spacing w:before="0" w:after="0"/>
        <w:jc w:val="left"/>
      </w:pPr>
      <w:r>
        <w:rPr>
          <w:rFonts w:ascii="Arial" w:hAnsi="Arial"/>
          <w:b/>
          <w:sz w:val="24"/>
        </w:rPr>
        <w:t>7. CONOCIMIENTOS PREVIOS EXIGIDOS Y RECOMENDADOS</w:t>
      </w:r>
    </w:p>
    <w:p/>
    <w:p>
      <w:pPr>
        <w:spacing w:before="0" w:after="0"/>
        <w:jc w:val="left"/>
      </w:pPr>
      <w:r>
        <w:rPr>
          <w:rFonts w:ascii="Arial" w:hAnsi="Arial"/>
          <w:b/>
          <w:sz w:val="24"/>
        </w:rPr>
        <w:t>7.1 Conocimientos Previos Exigidos:</w:t>
      </w:r>
    </w:p>
    <w:p>
      <w:pPr>
        <w:spacing w:after="120"/>
      </w:pPr>
      <w:r>
        <w:rPr>
          <w:rFonts w:ascii="Arial" w:hAnsi="Arial"/>
          <w:sz w:val="24"/>
        </w:rPr>
        <w:t>Programación Avanzada, Sistemas Operativos, IA para la Ingeniería de Software</w:t>
      </w:r>
    </w:p>
    <w:p/>
    <w:p>
      <w:pPr>
        <w:spacing w:before="0" w:after="0"/>
        <w:jc w:val="left"/>
      </w:pPr>
      <w:r>
        <w:rPr>
          <w:rFonts w:ascii="Arial" w:hAnsi="Arial"/>
          <w:b/>
          <w:sz w:val="24"/>
        </w:rPr>
        <w:t>7.2 Conocimientos Previos Recomendados:</w:t>
      </w:r>
    </w:p>
    <w:p>
      <w:pPr>
        <w:spacing w:after="120"/>
      </w:pPr>
      <w:r>
        <w:rPr>
          <w:rFonts w:ascii="Arial" w:hAnsi="Arial"/>
          <w:sz w:val="24"/>
        </w:rPr>
        <w:t>Bases de Datos, Redes de Computadoras, Arquitecturas Distribuidas</w:t>
      </w:r>
    </w:p>
    <w:p/>
    <w:p/>
    <w:p>
      <w:pPr>
        <w:spacing w:before="0" w:after="0"/>
        <w:jc w:val="left"/>
      </w:pPr>
      <w:r>
        <w:rPr>
          <w:rFonts w:ascii="Arial" w:hAnsi="Arial"/>
          <w:b/>
          <w:sz w:val="24"/>
        </w:rPr>
        <w:t>ANEXO A</w:t>
      </w:r>
    </w:p>
    <w:p>
      <w:pPr>
        <w:spacing w:before="0" w:after="0"/>
        <w:jc w:val="left"/>
      </w:pPr>
      <w:r>
        <w:rPr>
          <w:rFonts w:ascii="Arial" w:hAnsi="Arial"/>
          <w:b/>
          <w:sz w:val="24"/>
        </w:rPr>
        <w:t>Para todas las Carreras</w:t>
      </w:r>
    </w:p>
    <w:p/>
    <w:p>
      <w:pPr>
        <w:spacing w:before="0" w:after="0"/>
        <w:jc w:val="left"/>
      </w:pPr>
      <w:r>
        <w:rPr>
          <w:rFonts w:ascii="Arial" w:hAnsi="Arial"/>
          <w:b w:val="0"/>
          <w:sz w:val="24"/>
        </w:rPr>
        <w:t>Esta primera parte del anexo incluye aspectos complementarios que son generales de la unidad curricular.</w:t>
      </w:r>
    </w:p>
    <w:p/>
    <w:p>
      <w:pPr>
        <w:spacing w:before="0" w:after="0"/>
        <w:jc w:val="left"/>
      </w:pPr>
      <w:r>
        <w:rPr>
          <w:rFonts w:ascii="Arial" w:hAnsi="Arial"/>
          <w:b/>
          <w:sz w:val="24"/>
        </w:rPr>
        <w:t>A1) INSTITUTO</w:t>
      </w:r>
    </w:p>
    <w:p/>
    <w:p>
      <w:pPr>
        <w:spacing w:before="0" w:after="0"/>
        <w:jc w:val="left"/>
      </w:pPr>
      <w:r>
        <w:rPr>
          <w:rFonts w:ascii="Arial" w:hAnsi="Arial"/>
          <w:b w:val="0"/>
          <w:sz w:val="24"/>
        </w:rPr>
        <w:t>Comisión Nacional de Carrera del Tecnólogo en Informática (UTU-UTEC-UDELAR)</w:t>
      </w:r>
    </w:p>
    <w:p/>
    <w:p/>
    <w:p>
      <w:pPr>
        <w:spacing w:before="0" w:after="0"/>
        <w:jc w:val="left"/>
      </w:pPr>
      <w:r>
        <w:rPr>
          <w:rFonts w:ascii="Arial" w:hAnsi="Arial"/>
          <w:b/>
          <w:sz w:val="24"/>
        </w:rPr>
        <w:t>A2) CRONOGRAMA TENTATIVO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D9D9"/>
          </w:tcPr>
          <w:p>
            <w:r>
              <w:rPr>
                <w:rFonts w:ascii="Arial" w:hAnsi="Arial"/>
                <w:b/>
                <w:sz w:val="22"/>
              </w:rPr>
              <w:t>Semana</w:t>
            </w:r>
          </w:p>
        </w:tc>
        <w:tc>
          <w:tcPr>
            <w:tcW w:type="dxa" w:w="3135"/>
            <w:shd w:fill="D9D9D9"/>
          </w:tcPr>
          <w:p>
            <w:r>
              <w:rPr>
                <w:rFonts w:ascii="Arial" w:hAnsi="Arial"/>
                <w:b/>
                <w:sz w:val="22"/>
              </w:rPr>
              <w:t>Temas y Dominios (4 hs de clase)</w:t>
            </w:r>
          </w:p>
        </w:tc>
        <w:tc>
          <w:tcPr>
            <w:tcW w:type="dxa" w:w="3135"/>
            <w:shd w:fill="D9D9D9"/>
          </w:tcPr>
          <w:p>
            <w:r>
              <w:rPr>
                <w:rFonts w:ascii="Arial" w:hAnsi="Arial"/>
                <w:b/>
                <w:sz w:val="22"/>
              </w:rPr>
              <w:t>Foco Práctico (2 hs)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Semana 1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TEMA I: Introducción a agentes con estado. Conceptos de persistencia.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Demostración: Configuración de Redis para memoria de agentes.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Semana 2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TEMA I: Patrones de workflow agéntico. Máquinas de estado para agentes.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Demostración: Implementación de agente con memoria.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Semana 3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TEMA I: Orquestación multi-agente. Esquemas de comunicación.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Demostración: Sistema multi-agente básico.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Semana 4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TEMA I: Integración con SLMs. Modelos pequeños para producción.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Práctica: Fine-tuning de SLM para tarea empresarial.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Semana 5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TEMA II: Integración con sistemas legacy. ERPs y CRMs.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Demostración: Conexión agente-ERP.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Semana 6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TEMA II: Capas de abstracción. APIs empresariales para agentes.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Práctica: Desarrollo de connector de agente.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Semana 7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TEMA II: Seguridad en integraciones. Autenticación y autorización.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Demostración: Agente con acceso seguro a sistemas.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Semana 8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EVALUACIÓN: Presentaciones Técnicas (Parcial 1)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Semana 9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TEMA III: Agent-Ops. Pipeline de operaciones de agentes.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Demostración: Monitoring de agentes en producción.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Semana 10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TEMA III: Observabilidad. Tracing y logging de pensamientos.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Demostración: Implementación de tracing agéntico.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Semana 11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TEMA III: Kill-switches semánticos. Control y seguridad de IA.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Práctica: Implementación de controles de seguridad.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Semana 12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TEMA IV: Contenerización. Docker para agentes.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Demostración: Agente en contenedor Docker.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Semana 13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TEMA IV: Orquestación con Kubernetes. Escalamiento de agentes.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Demostración: Despliegue en Kubernetes.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Semana 14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TEMA IV: Enjambres de agentes. Patrones de escalamiento horizontal.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Tutoría Proyecto Final.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Semana 15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Revisión General. Proyecto Final - Company-in-a-Box.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Tutoría Proyecto Final.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Semana 16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EVALUACIÓN FINAL: Defensa del Proyecto Company-in-a-Box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</w:r>
          </w:p>
        </w:tc>
      </w:tr>
    </w:tbl>
    <w:p/>
    <w:p/>
    <w:p>
      <w:pPr>
        <w:spacing w:before="0" w:after="0"/>
        <w:jc w:val="left"/>
      </w:pPr>
      <w:r>
        <w:rPr>
          <w:rFonts w:ascii="Arial" w:hAnsi="Arial"/>
          <w:b/>
          <w:sz w:val="24"/>
        </w:rPr>
        <w:t>A3) MODALIDAD DEL CURSO Y PROCEDIMIENTO DE EVALUACIÓN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D9D9"/>
          </w:tcPr>
          <w:p>
            <w:r>
              <w:rPr>
                <w:rFonts w:ascii="Arial" w:hAnsi="Arial"/>
                <w:b/>
                <w:sz w:val="22"/>
              </w:rPr>
              <w:t>Instancia de Evaluación</w:t>
            </w:r>
          </w:p>
        </w:tc>
        <w:tc>
          <w:tcPr>
            <w:tcW w:type="dxa" w:w="3135"/>
            <w:shd w:fill="D9D9D9"/>
          </w:tcPr>
          <w:p>
            <w:r>
              <w:rPr>
                <w:rFonts w:ascii="Arial" w:hAnsi="Arial"/>
                <w:b/>
                <w:sz w:val="22"/>
              </w:rPr>
              <w:t>Peso Relativo</w:t>
            </w:r>
          </w:p>
        </w:tc>
        <w:tc>
          <w:tcPr>
            <w:tcW w:type="dxa" w:w="3135"/>
            <w:shd w:fill="D9D9D9"/>
          </w:tcPr>
          <w:p>
            <w:r>
              <w:rPr>
                <w:rFonts w:ascii="Arial" w:hAnsi="Arial"/>
                <w:b/>
                <w:sz w:val="22"/>
              </w:rPr>
              <w:t>Criterio de Aprobación / Descripción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22"/>
              </w:rPr>
              <w:t>Parcial 1 (Semana 8)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2"/>
              </w:rPr>
              <w:t>40%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2"/>
              </w:rPr>
              <w:t>Presentación Oral Grupal (25 min): Arquitectura de orquestación de agentes persistentes.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22"/>
              </w:rPr>
              <w:t>Evaluación Final (Semana 16)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2"/>
              </w:rPr>
              <w:t>40%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2"/>
              </w:rPr>
              <w:t>Defensa del Proyecto Company-in-a-Box: Infraestructura desplegable y escalable.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22"/>
              </w:rPr>
              <w:t>Participación y Asistencia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2"/>
              </w:rPr>
              <w:t>20%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2"/>
              </w:rPr>
              <w:t>Evaluación de la participación activa y asistencia a clases.</w:t>
            </w:r>
          </w:p>
        </w:tc>
      </w:tr>
    </w:tbl>
    <w:p/>
    <w:p/>
    <w:p>
      <w:pPr>
        <w:spacing w:before="0" w:after="0"/>
        <w:jc w:val="left"/>
      </w:pPr>
      <w:r>
        <w:rPr>
          <w:rFonts w:ascii="Arial" w:hAnsi="Arial"/>
          <w:b/>
          <w:sz w:val="24"/>
        </w:rPr>
        <w:t>A4) CALIDAD DE LIBRE</w:t>
      </w:r>
    </w:p>
    <w:p/>
    <w:p>
      <w:pPr>
        <w:spacing w:before="0" w:after="0"/>
        <w:jc w:val="left"/>
      </w:pPr>
      <w:r>
        <w:rPr>
          <w:rFonts w:ascii="Arial" w:hAnsi="Arial"/>
          <w:b w:val="0"/>
          <w:sz w:val="24"/>
        </w:rPr>
        <w:t>Esta asignatura no adhiere a la resolución del consejo sobre la condición de libre.</w:t>
      </w:r>
    </w:p>
    <w:p/>
    <w:p/>
    <w:p>
      <w:pPr>
        <w:spacing w:before="0" w:after="0"/>
        <w:jc w:val="left"/>
      </w:pPr>
      <w:r>
        <w:rPr>
          <w:rFonts w:ascii="Arial" w:hAnsi="Arial"/>
          <w:b/>
          <w:sz w:val="24"/>
        </w:rPr>
        <w:t>A5) CUPOS DE LA UNIDAD CURRICULAR</w:t>
      </w:r>
    </w:p>
    <w:p/>
    <w:p>
      <w:pPr>
        <w:spacing w:before="0" w:after="0"/>
        <w:jc w:val="left"/>
      </w:pPr>
      <w:r>
        <w:rPr>
          <w:rFonts w:ascii="Arial" w:hAnsi="Arial"/>
          <w:b w:val="0"/>
          <w:sz w:val="24"/>
        </w:rPr>
        <w:t>No tiene cupo</w:t>
      </w:r>
    </w:p>
    <w:p/>
    <w:p/>
    <w:p>
      <w:pPr>
        <w:spacing w:before="0" w:after="0"/>
        <w:jc w:val="left"/>
      </w:pPr>
      <w:r>
        <w:rPr>
          <w:rFonts w:ascii="Arial" w:hAnsi="Arial"/>
          <w:b/>
          <w:sz w:val="24"/>
        </w:rPr>
        <w:t>ANEXO B para la carrera Tecnólogo en Informática</w:t>
      </w:r>
    </w:p>
    <w:p/>
    <w:p/>
    <w:p>
      <w:pPr>
        <w:spacing w:before="0" w:after="0"/>
        <w:jc w:val="left"/>
      </w:pPr>
      <w:r>
        <w:rPr>
          <w:rFonts w:ascii="Arial" w:hAnsi="Arial"/>
          <w:b/>
          <w:sz w:val="24"/>
        </w:rPr>
        <w:t>B1) ÁREA DE FORMACIÓN</w:t>
      </w:r>
    </w:p>
    <w:p/>
    <w:p>
      <w:pPr>
        <w:spacing w:before="0" w:after="0"/>
        <w:jc w:val="left"/>
      </w:pPr>
      <w:r>
        <w:rPr>
          <w:rFonts w:ascii="Arial" w:hAnsi="Arial"/>
          <w:b w:val="0"/>
          <w:sz w:val="24"/>
        </w:rPr>
        <w:t>Sistemas Inteligentes Avanzados</w:t>
      </w:r>
    </w:p>
    <w:p/>
    <w:p/>
    <w:p>
      <w:pPr>
        <w:spacing w:before="0" w:after="0"/>
        <w:jc w:val="left"/>
      </w:pPr>
      <w:r>
        <w:rPr>
          <w:rFonts w:ascii="Arial" w:hAnsi="Arial"/>
          <w:b/>
          <w:sz w:val="24"/>
        </w:rPr>
        <w:t>B2) UNIDADES CURRICULARES PREVIAS</w:t>
      </w:r>
    </w:p>
    <w:p/>
    <w:p>
      <w:pPr>
        <w:spacing w:after="60"/>
      </w:pPr>
      <w:r>
        <w:rPr>
          <w:rFonts w:ascii="Arial" w:hAnsi="Arial"/>
          <w:sz w:val="24"/>
        </w:rPr>
        <w:t>IA para la Ingeniería de Software (Curso Aprobado).</w:t>
      </w:r>
    </w:p>
    <w:p>
      <w:pPr>
        <w:spacing w:after="60"/>
      </w:pPr>
      <w:r>
        <w:rPr>
          <w:rFonts w:ascii="Arial" w:hAnsi="Arial"/>
          <w:sz w:val="24"/>
        </w:rPr>
        <w:t>Sistemas Operativos (Curso Aprobado).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