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Programa de 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z w:val="24"/>
          <w:szCs w:val="24"/>
          <w:rtl w:val="0"/>
        </w:rPr>
        <w:t xml:space="preserve">Introducción a la Seguridad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NOMBRE DE LA UNIDAD CURRICULAR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 a la Seguridad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CRÉDITOS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créditos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OBJETIVOS DE LA UNIDAD CURRICULAR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Adquirir los conceptos fundamentales de la ciberseguridad, reconociendo las características principales de esta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el Marco Legal y Regulatorio (Uruguay e Internacional) para generar conciencia profesional y ética.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Disponer de un conocimiento inicial de once Dominios de Seguridad y aplicar principios para la construcción de defensas técnicas y arquitectónicas.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Introducir al estudiantes en los conceptos básicos de ingeniería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Experimentar y comunicar métodos y herramientas de seguridad avanzada a través de demostraciones prácticas.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Evaluar la Postura de Riesgo de una organización, elaborando un Inventario de Activos, un Modelo de Amenazas y un Plan de Gestión de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METODOLOGÍA DE ENSEÑANZA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-167.99999999999997" w:type="dxa"/>
        <w:tblBorders>
          <w:top w:color="1b1c1d" w:space="0" w:sz="4" w:val="single"/>
          <w:left w:color="1b1c1d" w:space="0" w:sz="4" w:val="single"/>
          <w:bottom w:color="1b1c1d" w:space="0" w:sz="4" w:val="single"/>
          <w:right w:color="1b1c1d" w:space="0" w:sz="4" w:val="single"/>
          <w:insideH w:color="1b1c1d" w:space="0" w:sz="4" w:val="single"/>
          <w:insideV w:color="1b1c1d" w:space="0" w:sz="4" w:val="single"/>
        </w:tblBorders>
        <w:tblLayout w:type="fixed"/>
        <w:tblLook w:val="0000"/>
      </w:tblPr>
      <w:tblGrid>
        <w:gridCol w:w="3360"/>
        <w:gridCol w:w="2805"/>
        <w:gridCol w:w="2655"/>
        <w:tblGridChange w:id="0">
          <w:tblGrid>
            <w:gridCol w:w="3360"/>
            <w:gridCol w:w="2805"/>
            <w:gridCol w:w="26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Horas de Clase (Semanales)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Horas Totales (15 Semanas)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Teórico (T)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horas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Práctico / Laboratorio Asistido (P/L)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horas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horas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Dedicación No Presencial (Personal)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horas (estimado)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horas (estimado)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Estimado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horas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 horas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Participación de los Estudiantes: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Demostraciones Prácticas: El instructor realizará demostraciones en el laboratorio de herramientas (Nmap, Netcat, ZAP), ingeniería social y técnicas de ataque/defensa durante las horas de clase, para ilustrar los conceptos del dominio semanal.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Presentaciones Grupales (Parcial 1): Los estudiantes realizarán presentaciones de 25 minutos en grupos, demostrando habilidades prácticas de investigación en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 de Riesgos (Evaluación Final): Realización de un proyecto de modelado y gestión de riesgos para una empresa ficticia.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TEMARIO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5.0" w:type="dxa"/>
        <w:jc w:val="left"/>
        <w:tblInd w:w="-167.99999999999997" w:type="dxa"/>
        <w:tblBorders>
          <w:top w:color="1b1c1d" w:space="0" w:sz="4" w:val="single"/>
          <w:left w:color="1b1c1d" w:space="0" w:sz="4" w:val="single"/>
          <w:bottom w:color="1b1c1d" w:space="0" w:sz="4" w:val="single"/>
          <w:right w:color="1b1c1d" w:space="0" w:sz="4" w:val="single"/>
          <w:insideH w:color="1b1c1d" w:space="0" w:sz="4" w:val="single"/>
          <w:insideV w:color="1b1c1d" w:space="0" w:sz="4" w:val="single"/>
        </w:tblBorders>
        <w:tblLayout w:type="fixed"/>
        <w:tblLook w:val="0000"/>
      </w:tblPr>
      <w:tblGrid>
        <w:gridCol w:w="2880"/>
        <w:gridCol w:w="5955"/>
        <w:tblGridChange w:id="0">
          <w:tblGrid>
            <w:gridCol w:w="2880"/>
            <w:gridCol w:w="59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y subtemas 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I: Introducción, fundamentos y marco legal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Introducción, Aspectos Legales, Reglamentarios y Cumplimiento.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Introducción, Motivación, la Tríada CIA.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Marco Legal Uruguayo: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Ley N.º 18.331 y Delitos Informáticos. Marcos Internacionales (GDPR, OWASP).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II: Herramientas Criptográficas y Seguridad de Activos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Dominio: Seguridad de los Activos.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Criptografía: Hashing, Simétrico/Asimétrico. Integridad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III: IAM y Arquitectura de Red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Dominio: IAM y Arquitectura de Red.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Control de Acceso (RBAC). Protocolos de Red. Herramientas: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Nmap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John the Ripper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IV: Seguridad en Desarrollo, Operaciones, Ingeniería Social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Dominios: AppSec, OpSec y Evaluación.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Vulnerabilidades de Aplicaciones: XSS, SQLi (Remediación). Ingeniería Social y Detección.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Netcat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V: Gestión de Riesgos y Continuidad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Dominios: Seguridad y Gestión de Riesgos, BCDR.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Modelado de Amenazas, Inventario de Activos, Planificación de la Continuidad del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220.0" w:type="dxa"/>
        <w:jc w:val="left"/>
        <w:tblInd w:w="-167.99999999999997" w:type="dxa"/>
        <w:tblBorders>
          <w:top w:color="1b1c1d" w:space="0" w:sz="4" w:val="single"/>
          <w:left w:color="1b1c1d" w:space="0" w:sz="4" w:val="single"/>
          <w:bottom w:color="1b1c1d" w:space="0" w:sz="4" w:val="single"/>
          <w:right w:color="1b1c1d" w:space="0" w:sz="4" w:val="single"/>
          <w:insideH w:color="1b1c1d" w:space="0" w:sz="4" w:val="single"/>
          <w:insideV w:color="1b1c1d" w:space="0" w:sz="4" w:val="single"/>
        </w:tblBorders>
        <w:tblLayout w:type="fixed"/>
        <w:tblLook w:val="0000"/>
      </w:tblPr>
      <w:tblGrid>
        <w:gridCol w:w="1799"/>
        <w:gridCol w:w="1156"/>
        <w:gridCol w:w="2265"/>
        <w:tblGridChange w:id="0">
          <w:tblGrid>
            <w:gridCol w:w="1799"/>
            <w:gridCol w:w="1156"/>
            <w:gridCol w:w="22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Básica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Complementaria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 a V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(2), (3), (5)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I, IV, V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Básica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208" w:right="0" w:hanging="357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Stallings, W., Brown, L. (2018).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Computer Security: Principles and Practice, 4th Edition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 Complementaria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208" w:right="0" w:hanging="35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Centro Nacional de Respuesta a Incidentes de Seguridad Informática (CERTuy), AGESIC. Materiales Didácticos de la campaña “Seguro te conectás”. Disponible en: https://www. gub.uy/centro-nacional-respuesta-incidentes-seguridad-informatica/ciudadania.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line="276" w:lineRule="auto"/>
        <w:ind w:left="1208" w:hanging="357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(ISC)². (Versión Reciente). CISSP Official Study Guide. (Referencia para la estructura y conceptos de Dominios de Seguridad).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line="276" w:lineRule="auto"/>
        <w:ind w:left="1208" w:hanging="357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Tevault. Mastering Linux Security and Hardening: Protect your Linux systems from intruders, malware attacks, and other cyber threats , Second Edition. Packt.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208" w:right="0" w:hanging="35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OWASP Foundation. (Última versión). OWASP Top 10 y OWASP API Security Top 10.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CONOCIMIENTOS PREVIOS EXIGIDOS Y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 Conocimientos Previos Exigidos: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requieren conocimientos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Administración de Infraestructura, Programación Avanzada y Bases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 Conocimientos Previos Recomendados: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Conocimiento básico de los protocolos TCP/IP, conocimientos básicos de sistemas operativos, programación y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incluye la información de previaturas. Las unidades curriculares previas serán definidas por cada carrera que tome la unidad curricular y serán incluidas en el anexo B.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A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todas las Carreras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primera parte del anexo incluye aspectos complementarios que son generales de la unidad curricular.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A1) INSTITUTO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Comisión nacional de carrera del Tecnólogo en Informática (UTU-UTEC-UDELAR)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A2) CRONOGRAMA TENTATIVO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05.0" w:type="dxa"/>
        <w:jc w:val="left"/>
        <w:tblInd w:w="-167.99999999999997" w:type="dxa"/>
        <w:tblBorders>
          <w:top w:color="1b1c1d" w:space="0" w:sz="4" w:val="single"/>
          <w:left w:color="1b1c1d" w:space="0" w:sz="4" w:val="single"/>
          <w:bottom w:color="1b1c1d" w:space="0" w:sz="4" w:val="single"/>
          <w:right w:color="1b1c1d" w:space="0" w:sz="4" w:val="single"/>
          <w:insideH w:color="1b1c1d" w:space="0" w:sz="4" w:val="single"/>
          <w:insideV w:color="1b1c1d" w:space="0" w:sz="4" w:val="single"/>
        </w:tblBorders>
        <w:tblLayout w:type="fixed"/>
        <w:tblLook w:val="0000"/>
      </w:tblPr>
      <w:tblGrid>
        <w:gridCol w:w="1485"/>
        <w:gridCol w:w="5070"/>
        <w:gridCol w:w="2250"/>
        <w:tblGridChange w:id="0">
          <w:tblGrid>
            <w:gridCol w:w="1485"/>
            <w:gridCol w:w="5070"/>
            <w:gridCol w:w="22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Temas y Dominios (4 hs de clase)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Foco Práctico (2 hs)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Introducción ala seguridad informática, CIA, Riesgo.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Marco Legal Uruguayo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Demostración: Ética y Delito Informático.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2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II (Activos/Criptografía).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Hashing, Simétrico/Asimétrico. Marcos Internacionales.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Demostración: Integridad de Archivos.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3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III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Consola Bash.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Nmap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(Reconocimiento). Presentación Actividad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Demostración: Nmap y uso de Comandos Linux.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4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IV (Ingeniería Social).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Vectores de ataque, Phishing, tipos de phishing, google dorks, maltego, shodan. Concientización.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Demostración: Análisis de Phishing.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5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III (IAM).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Autenticación, MFA.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John the Ripper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(Auditoría de Hashes), Diccionario,Reglas, Fuerza Bruta, Rainbow tables.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Demostración: Auditoría de Contraseñas, fuerza bruta, reconocimiento pasivo.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6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IV (AppSec).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Introducción a la programación segura con Html, Css y javascript.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XSS/SQLi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Principios de Remediación.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Demostración: Fallos de Inyección en Código.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7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IV (Herramientas).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Netcat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(Auditoría Web).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Demostración: Netcat y ZAP.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8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Actividad 1: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Presentaciones Grupales (4 hs de clase).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9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V (Monitoreo).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tcpdump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(Análisis de Tráfico), Análisis de Logs, IDS/IPS.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Demostración: Análisis de Tráfico Anómalo.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10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IV (Operaciones).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Hardening de SO. Vulnerabilidades Comunes.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Demostración: Auditoría de Permisos.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11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V: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Modelado de Amenazas (Inicio Proyecto Final).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Práctica: Valoración de Activos, modelar amenazas usando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161616"/>
                <w:sz w:val="46"/>
                <w:szCs w:val="4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Threat Modeling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12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V: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Riesgos.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Metodologías de Análisis y Tratamiento.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Práctica: Desarrollo de la Matriz de Riesgos.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13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TEMA V: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BCDR y Planificación de Continuidad.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Tutoría Proyecto Final.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14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General.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Revisión de Conceptos Clave de Gestión de Riesgos.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Tutoría Proyecto Final.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15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FINAL (Parcial 2):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Defensa del Plan de Gestión de Riesgos y Modelado de Amenazas (4 hs de clase).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A3) MODALIDAD DEL CURSO Y PROCEDIMIENTO DE EVALUACIÓN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Ind w:w="-167.99999999999997" w:type="dxa"/>
        <w:tblBorders>
          <w:top w:color="1b1c1d" w:space="0" w:sz="4" w:val="single"/>
          <w:left w:color="1b1c1d" w:space="0" w:sz="4" w:val="single"/>
          <w:bottom w:color="1b1c1d" w:space="0" w:sz="4" w:val="single"/>
          <w:right w:color="1b1c1d" w:space="0" w:sz="4" w:val="single"/>
          <w:insideH w:color="1b1c1d" w:space="0" w:sz="4" w:val="single"/>
          <w:insideV w:color="1b1c1d" w:space="0" w:sz="4" w:val="single"/>
        </w:tblBorders>
        <w:tblLayout w:type="fixed"/>
        <w:tblLook w:val="0000"/>
      </w:tblPr>
      <w:tblGrid>
        <w:gridCol w:w="2339"/>
        <w:gridCol w:w="1411"/>
        <w:gridCol w:w="5070"/>
        <w:tblGridChange w:id="0">
          <w:tblGrid>
            <w:gridCol w:w="2339"/>
            <w:gridCol w:w="1411"/>
            <w:gridCol w:w="507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Instancia de Evaluación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 Relativo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Criterio de Aprobación / Descripción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Parcial 1 (Semana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40%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 Oral Grupal (25 min):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La evaluación se centra en la investigación, el dominio técnico y la comunicación.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demostración práctica en vivo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es obligatoria para la presentación.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Final (Parcial 2) (Semana 15)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40%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Defensa del Proyecto de Gestión de Riesgos: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 grupo debe entregar y defender oralmente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Inventario de Activos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de Amenazas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Gestión de Riesgos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detallado para un escenario ficticio.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Participación y Asistencia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de la participación activa y asistencia. </w:t>
            </w:r>
          </w:p>
        </w:tc>
      </w:tr>
    </w:tbl>
    <w:p w:rsidR="00000000" w:rsidDel="00000000" w:rsidP="00000000" w:rsidRDefault="00000000" w:rsidRPr="00000000" w14:paraId="000000A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Aprobación del Curso: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Obtener un promedio ponderado mínimo de 60% en el total  de las instancias de evaluación. La presentación grupal es obligatoria para aprobar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A4) CALIDAD DE LIBRE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asignatura no adhiere a la resolución del consejo sobre la condición de libre.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A5) CUPOS DE LA UNIDAD CURRICULAR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tiene cupo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B para la carrera Tecnólogo em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B1) ÁREA DE 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Arquitectura, Sistemas Operativos y Redes de Computadores.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B2) UNIDADES CURRICULARES PREVIAS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Administración de Infraestructura (Curso Aprobado).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Programación Avanzada (Examen Aprobado).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Bases de Datos 1 (Examen Aprobado).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757" w:top="2267" w:left="1133" w:right="1133" w:header="1133" w:footer="17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-714374</wp:posOffset>
          </wp:positionH>
          <wp:positionV relativeFrom="paragraph">
            <wp:posOffset>361950</wp:posOffset>
          </wp:positionV>
          <wp:extent cx="7560310" cy="6972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373" l="0" r="0" t="91101"/>
                  <a:stretch>
                    <a:fillRect/>
                  </a:stretch>
                </pic:blipFill>
                <pic:spPr>
                  <a:xfrm>
                    <a:off x="0" y="0"/>
                    <a:ext cx="7560310" cy="69723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tabs>
        <w:tab w:val="right" w:leader="none" w:pos="9638"/>
      </w:tabs>
      <w:spacing w:after="0" w:before="0" w:line="240" w:lineRule="auto"/>
      <w:ind w:left="5046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7145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83962" l="0" r="0" t="0"/>
                  <a:stretch>
                    <a:fillRect/>
                  </a:stretch>
                </pic:blipFill>
                <pic:spPr>
                  <a:xfrm>
                    <a:off x="0" y="0"/>
                    <a:ext cx="7560310" cy="1714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  <w:rtl w:val="0"/>
      </w:rPr>
      <w:t xml:space="preserve">Formato Aprobado por resolución Nº113 del CFI de fecha 04.07.2017 </w:t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"/>
      <w:lvlJc w:val="left"/>
      <w:pPr>
        <w:ind w:left="1080" w:hanging="360"/>
      </w:pPr>
      <w:rPr/>
    </w:lvl>
    <w:lvl w:ilvl="2">
      <w:start w:val="1"/>
      <w:numFmt w:val="bullet"/>
      <w:lvlText w:val="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"/>
      <w:lvlJc w:val="left"/>
      <w:pPr>
        <w:ind w:left="2160" w:hanging="360"/>
      </w:pPr>
      <w:rPr/>
    </w:lvl>
    <w:lvl w:ilvl="5">
      <w:start w:val="1"/>
      <w:numFmt w:val="bullet"/>
      <w:lvlText w:val="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"/>
      <w:lvlJc w:val="left"/>
      <w:pPr>
        <w:ind w:left="3240" w:hanging="360"/>
      </w:pPr>
      <w:rPr/>
    </w:lvl>
    <w:lvl w:ilvl="8">
      <w:start w:val="1"/>
      <w:numFmt w:val="bullet"/>
      <w:lvlText w:val="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"/>
      <w:lvlJc w:val="left"/>
      <w:pPr>
        <w:ind w:left="1080" w:hanging="360"/>
      </w:pPr>
      <w:rPr/>
    </w:lvl>
    <w:lvl w:ilvl="2">
      <w:start w:val="1"/>
      <w:numFmt w:val="bullet"/>
      <w:lvlText w:val="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"/>
      <w:lvlJc w:val="left"/>
      <w:pPr>
        <w:ind w:left="2160" w:hanging="360"/>
      </w:pPr>
      <w:rPr/>
    </w:lvl>
    <w:lvl w:ilvl="5">
      <w:start w:val="1"/>
      <w:numFmt w:val="bullet"/>
      <w:lvlText w:val="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"/>
      <w:lvlJc w:val="left"/>
      <w:pPr>
        <w:ind w:left="3240" w:hanging="360"/>
      </w:pPr>
      <w:rPr/>
    </w:lvl>
    <w:lvl w:ilvl="8">
      <w:start w:val="1"/>
      <w:numFmt w:val="bullet"/>
      <w:lvlText w:val="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211" w:hanging="360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righ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righ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right"/>
      <w:pPr>
        <w:ind w:left="6971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"/>
      <w:lvlJc w:val="left"/>
      <w:pPr>
        <w:ind w:left="1080" w:hanging="360"/>
      </w:pPr>
      <w:rPr/>
    </w:lvl>
    <w:lvl w:ilvl="2">
      <w:start w:val="1"/>
      <w:numFmt w:val="bullet"/>
      <w:lvlText w:val="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"/>
      <w:lvlJc w:val="left"/>
      <w:pPr>
        <w:ind w:left="2160" w:hanging="360"/>
      </w:pPr>
      <w:rPr/>
    </w:lvl>
    <w:lvl w:ilvl="5">
      <w:start w:val="1"/>
      <w:numFmt w:val="bullet"/>
      <w:lvlText w:val="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"/>
      <w:lvlJc w:val="left"/>
      <w:pPr>
        <w:ind w:left="3240" w:hanging="360"/>
      </w:pPr>
      <w:rPr/>
    </w:lvl>
    <w:lvl w:ilvl="8">
      <w:start w:val="1"/>
      <w:numFmt w:val="bullet"/>
      <w:lvlText w:val="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74.0" w:type="dxa"/>
        <w:bottom w:w="12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74.0" w:type="dxa"/>
        <w:bottom w:w="12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74.0" w:type="dxa"/>
        <w:bottom w:w="12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74.0" w:type="dxa"/>
        <w:bottom w:w="12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74.0" w:type="dxa"/>
        <w:bottom w:w="12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