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 fin(ito) y más allá del bearer token — Guion completo de la charla</w:t>
      </w:r>
    </w:p>
    <w:p>
      <w:r>
        <w:rPr>
          <w:b/>
          <w:i w:val="0"/>
        </w:rPr>
        <w:t>Formato:</w:t>
      </w:r>
      <w:r>
        <w:rPr>
          <w:b w:val="0"/>
          <w:i w:val="0"/>
        </w:rPr>
        <w:t xml:space="preserve"> charla narrada (sin demos), ~60 minutos versión extendida. El Anexo B indica cómo comprimir a 30.</w:t>
      </w:r>
    </w:p>
    <w:p>
      <w:r>
        <w:rPr>
          <w:b/>
          <w:i w:val="0"/>
        </w:rPr>
        <w:t>Tono:</w:t>
      </w:r>
      <w:r>
        <w:rPr>
          <w:b w:val="0"/>
          <w:i w:val="0"/>
        </w:rPr>
        <w:t xml:space="preserve"> académico, observacional. No se critica a ninguna organización ni persona: se observan fallas de modelo, todas documentadas en divulgaciones públicas.</w:t>
      </w:r>
    </w:p>
    <w:p>
      <w:r>
        <w:rPr>
          <w:b/>
          <w:i w:val="0"/>
        </w:rPr>
        <w:t>Convención:</w:t>
      </w:r>
      <w:r>
        <w:rPr>
          <w:b w:val="0"/>
          <w:i w:val="0"/>
        </w:rPr>
        <w:t xml:space="preserve"> en </w:t>
      </w:r>
      <w:r>
        <w:rPr>
          <w:b/>
          <w:i w:val="0"/>
        </w:rPr>
        <w:t>negrita</w:t>
      </w:r>
      <w:r>
        <w:rPr>
          <w:b w:val="0"/>
          <w:i w:val="0"/>
        </w:rPr>
        <w:t xml:space="preserve"> se marca el </w:t>
      </w:r>
      <w:r>
        <w:rPr>
          <w:b/>
          <w:i w:val="0"/>
        </w:rPr>
        <w:t>primer antecedente</w:t>
      </w:r>
      <w:r>
        <w:rPr>
          <w:b w:val="0"/>
          <w:i w:val="0"/>
        </w:rPr>
        <w:t xml:space="preserve"> de cada concepto (norma, edición y fecha) para que puedas citarlo con precisión. Las citas textuales de RFC están en inglés, tal como aparecen en el documento original.</w:t>
      </w:r>
    </w:p>
    <w:p>
      <w:pPr>
        <w:pStyle w:val="Heading2"/>
      </w:pPr>
      <w:r>
        <w:t>Cómo usar este guion</w:t>
      </w:r>
    </w:p>
    <w:p>
      <w:pPr>
        <w:pStyle w:val="ListBullet"/>
      </w:pPr>
      <w:r>
        <w:rPr>
          <w:b w:val="0"/>
          <w:i w:val="0"/>
        </w:rPr>
        <w:t>Los párrafos en cursiva son indicaciones para el ponente (tiempo, slide sugerida, énfasis).</w:t>
      </w:r>
    </w:p>
    <w:p>
      <w:pPr>
        <w:pStyle w:val="ListBullet"/>
      </w:pPr>
      <w:r>
        <w:rPr>
          <w:b w:val="0"/>
          <w:i w:val="0"/>
        </w:rPr>
        <w:t>Los párrafos sin marcar son texto hablado: puedes leerlos casi literalmente.</w:t>
      </w:r>
    </w:p>
    <w:p>
      <w:pPr>
        <w:pStyle w:val="ListBullet"/>
      </w:pPr>
      <w:r>
        <w:rPr>
          <w:b w:val="0"/>
          <w:i w:val="0"/>
        </w:rPr>
        <w:t xml:space="preserve">Cada bloque termina con una </w:t>
      </w:r>
      <w:r>
        <w:rPr>
          <w:b/>
          <w:i w:val="0"/>
        </w:rPr>
        <w:t>frase de cierre</w:t>
      </w:r>
      <w:r>
        <w:rPr>
          <w:b w:val="0"/>
          <w:i w:val="0"/>
        </w:rPr>
        <w:t xml:space="preserve"> diseñada para ser el "punto" de la sección.</w:t>
      </w:r>
    </w:p>
    <w:p>
      <w:pPr>
        <w:pStyle w:val="ListBullet"/>
      </w:pPr>
      <w:r>
        <w:rPr>
          <w:b w:val="0"/>
          <w:i w:val="0"/>
        </w:rPr>
        <w:t>La bibliografía consolidada está al final; todos los enlaces son fuentes primarias (rfc-editor.org, owasp.org, nist.gov, blogs oficiales de las organizaciones afectadas).</w:t>
      </w:r>
    </w:p>
    <w:p>
      <w:r>
        <w:br w:type="page"/>
      </w:r>
    </w:p>
    <w:p>
      <w:pPr>
        <w:pStyle w:val="Heading1"/>
      </w:pPr>
      <w:r>
        <w:t>APERTURA — El billete al portador (≈4 min)</w:t>
      </w:r>
    </w:p>
    <w:p>
      <w:r>
        <w:rPr>
          <w:b w:val="0"/>
          <w:i/>
        </w:rPr>
        <w:t>Slide 1: título. Slide 2: una foto de un billete de banco antiguo al portador vs un string de 512 caracteres.</w:t>
      </w:r>
    </w:p>
    <w:p>
      <w:r>
        <w:rPr>
          <w:b w:val="0"/>
          <w:i w:val="0"/>
        </w:rPr>
        <w:t>Buenas tardes a todos. La charla se llama "Al fin(ito) y más allá del bearer token". El título es un juego de palabras con "al infinito y más allá", y no es casual: vamos a hablar de algo que parece infinito —un token que parece que nunca se acaba— y de lo que hay más allá de él, que es donde de verdad vive la seguridad.</w:t>
      </w:r>
    </w:p>
    <w:p>
      <w:r>
        <w:rPr>
          <w:b w:val="0"/>
          <w:i w:val="0"/>
        </w:rPr>
        <w:t xml:space="preserve">Quiero empezar con una definición que parece obvia y no lo es. Un </w:t>
      </w:r>
      <w:r>
        <w:rPr>
          <w:b/>
          <w:i w:val="0"/>
        </w:rPr>
        <w:t>bearer token</w:t>
      </w:r>
      <w:r>
        <w:rPr>
          <w:b w:val="0"/>
          <w:i w:val="0"/>
        </w:rPr>
        <w:t xml:space="preserve"> es un artefacto de seguridad cuya posesión equivale a autorización. La palabra "bearer" viene del derecho mercantil: el </w:t>
      </w:r>
      <w:r>
        <w:rPr>
          <w:b/>
          <w:i w:val="0"/>
        </w:rPr>
        <w:t>instrumento financiero al portador</w:t>
      </w:r>
      <w:r>
        <w:rPr>
          <w:b w:val="0"/>
          <w:i w:val="0"/>
        </w:rPr>
        <w:t xml:space="preserve"> es aquel que da derecho a quien lo tiene en la mano, sin necesidad de acreditar identidad alguna. Si perdes un billete, quien lo levanta puede gastarlo. Si perdes un token, quien lo tiene puede usarlo.</w:t>
      </w:r>
    </w:p>
    <w:p>
      <w:r>
        <w:rPr>
          <w:b w:val="0"/>
          <w:i w:val="0"/>
        </w:rPr>
        <w:t xml:space="preserve">Eso está escrito en la norma. </w:t>
      </w:r>
      <w:r>
        <w:rPr>
          <w:b/>
          <w:i w:val="0"/>
        </w:rPr>
        <w:t>Primera aparición: RFC 6750, "The OAuth 2.0 Authorization Framework: Bearer Token Usage", octubre de 2012.</w:t>
      </w:r>
      <w:r>
        <w:rPr>
          <w:b w:val="0"/>
          <w:i w:val="0"/>
        </w:rPr>
        <w:t xml:space="preserve"> Su resumen dice, textualmente, que cualquier parte en posesión de un bearer token —un "bearer"— puede usarlo para acceder a los recursos protegidos. No dice "el legítimo propietario". Dice "quien lo tiene".</w:t>
      </w:r>
    </w:p>
    <w:p>
      <w:r>
        <w:rPr>
          <w:b w:val="0"/>
          <w:i w:val="0"/>
        </w:rPr>
        <w:t>Hoy vamos a hacer tres cosas. Primero, un poco de historia: qué había antes del bearer token, por qué el mundo lo adoptó a pesar de sus riesgos conocidos. Segundo, anatomía: qué tipos de token existen, dónde nacen y cómo se relacionan entre sí. Y tercero —que es el corazón de la charla—, hablar de autenticación multifactor en APIs: qué pasa cuando la API la invoca una persona, y qué pasa cuando la invoca un sistema, que es la mayoría de las veces.</w:t>
      </w:r>
    </w:p>
    <w:p>
      <w:r>
        <w:rPr>
          <w:b w:val="0"/>
          <w:i w:val="0"/>
        </w:rPr>
        <w:t xml:space="preserve">Y todo esto con un tono que quiero declarar desde ahora: </w:t>
      </w:r>
      <w:r>
        <w:rPr>
          <w:b/>
          <w:i w:val="0"/>
        </w:rPr>
        <w:t>no voy a criticar a nadie</w:t>
      </w:r>
      <w:r>
        <w:rPr>
          <w:b w:val="0"/>
          <w:i w:val="0"/>
        </w:rPr>
        <w:t>. Los casos que voy a contar son divulgaciones públicas y responsables. Todos —los equipos afectados, quiero decir— hicieron bien el trabajo de transparencia. Lo que vamos a observar es que el modelo de "quien lo tiene, lo usa" produce consecuencias previsibles. Nadie es el villano: el villano, si existe, es el diseño.</w:t>
      </w:r>
    </w:p>
    <w:p>
      <w:r>
        <w:rPr>
          <w:b w:val="0"/>
          <w:i/>
        </w:rPr>
        <w:t>Pausa breve. Frase de transición:</w:t>
      </w:r>
      <w:r>
        <w:rPr>
          <w:b w:val="0"/>
          <w:i w:val="0"/>
        </w:rPr>
        <w:t xml:space="preserve"> "Empecemos, como siempre, por el principio: por lo que había antes."</w:t>
      </w:r>
    </w:p>
    <w:p>
      <w:r>
        <w:br w:type="page"/>
      </w:r>
    </w:p>
    <w:p>
      <w:pPr>
        <w:pStyle w:val="Heading1"/>
      </w:pPr>
      <w:r>
        <w:t>BLOQUE 1 — Antes del bearer: una historia breve de la autenticación en HTTP (≈12 min)</w:t>
      </w:r>
    </w:p>
    <w:p>
      <w:r>
        <w:rPr>
          <w:b w:val="0"/>
          <w:i/>
        </w:rPr>
        <w:t>Slide 3: línea temporal horizontal con hitos. Este bloque funciona muy bien como narración sobre una única diapositiva de timeline.</w:t>
      </w:r>
    </w:p>
    <w:p>
      <w:pPr>
        <w:pStyle w:val="Heading2"/>
      </w:pPr>
      <w:r>
        <w:t>1.1 HTTP Basic y Digest: las credenciales en cada request</w:t>
      </w:r>
    </w:p>
    <w:p>
      <w:r>
        <w:rPr>
          <w:b w:val="0"/>
          <w:i w:val="0"/>
        </w:rPr>
        <w:t>Todo empieza con un problema muy concreto: HTTP es un protocolo sin estado, y la web quería proteger recursos. La primera solución fue simple y, con el diario del lunes, terrorífica: mandar el usuario y la contraseña en cada petición.</w:t>
      </w:r>
    </w:p>
    <w:p>
      <w:r>
        <w:rPr>
          <w:b/>
          <w:i w:val="0"/>
        </w:rPr>
        <w:t>Primera aparición: RFC 2617, "HTTP Authentication: Basic and Digest Access Authentication", junio de 1999.</w:t>
      </w:r>
      <w:r>
        <w:rPr>
          <w:b w:val="0"/>
          <w:i w:val="0"/>
        </w:rPr>
        <w:t xml:space="preserve"> Basic codifica usuario:contraseña en Base64 —que no es cifrado, es una codificación reversible— y lo manda en la cabecera </w:t>
      </w:r>
      <w:r>
        <w:rPr>
          <w:rFonts w:ascii="Consolas" w:hAnsi="Consolas"/>
          <w:b w:val="0"/>
          <w:i w:val="0"/>
          <w:color w:val="A03030"/>
        </w:rPr>
        <w:t>WWW-Authenticate</w:t>
      </w:r>
      <w:r>
        <w:rPr>
          <w:b w:val="0"/>
          <w:i w:val="0"/>
        </w:rPr>
        <w:t xml:space="preserve">. Digest mejoró esto al enviar un hash en lugar de la contraseña en claro, pero ambos esquemas mantienen el mismo problema de fondo: </w:t>
      </w:r>
      <w:r>
        <w:rPr>
          <w:b/>
          <w:i w:val="0"/>
        </w:rPr>
        <w:t>las credenciales viajan en cada request, contra cada recurso, y el servidor debe conocerlas o verificarlas cada vez.</w:t>
      </w:r>
    </w:p>
    <w:p>
      <w:r>
        <w:rPr>
          <w:b/>
          <w:i w:val="0"/>
        </w:rPr>
        <w:t>RFC 2617 fue obsoleto por RFC 7616, en agosto de 2015</w:t>
      </w:r>
      <w:r>
        <w:rPr>
          <w:b w:val="0"/>
          <w:i w:val="0"/>
        </w:rPr>
        <w:t>, que añadió SHA-256 y modernizó Digest. Pero el patrón no cambió: seguimos hablando de credenciales de larga vida que se reutilizan infinitas veces.</w:t>
      </w:r>
    </w:p>
    <w:p>
      <w:r>
        <w:rPr>
          <w:b w:val="0"/>
          <w:i/>
        </w:rPr>
        <w:t>Cita hablada sugerida:</w:t>
      </w:r>
      <w:r>
        <w:rPr>
          <w:b w:val="0"/>
          <w:i w:val="0"/>
        </w:rPr>
        <w:t xml:space="preserve"> "Basic es como darle a alguien tu llave de casa para que vaya a revisar una habitación. Le das la llave, no le das el acceso a la habitación."</w:t>
      </w:r>
    </w:p>
    <w:p>
      <w:pPr>
        <w:pStyle w:val="Heading2"/>
      </w:pPr>
      <w:r>
        <w:t>1.2 Cookies y sesiones: el estado en el servidor</w:t>
      </w:r>
    </w:p>
    <w:p>
      <w:r>
        <w:rPr>
          <w:b w:val="0"/>
          <w:i w:val="0"/>
        </w:rPr>
        <w:t xml:space="preserve">El segundo gran intento fue no mandar credenciales en cada request, sino mandar un </w:t>
      </w:r>
      <w:r>
        <w:rPr>
          <w:b/>
          <w:i w:val="0"/>
        </w:rPr>
        <w:t>identificador de sesión</w:t>
      </w:r>
      <w:r>
        <w:rPr>
          <w:b w:val="0"/>
          <w:i w:val="0"/>
        </w:rPr>
        <w:t>. El servidor guarda el estado; el navegador sólo repite una cookie.</w:t>
      </w:r>
    </w:p>
    <w:p>
      <w:r>
        <w:rPr>
          <w:b/>
          <w:i w:val="0"/>
        </w:rPr>
        <w:t>Primera aparición: la especificación de cookies de Netscape, 1996.</w:t>
      </w:r>
      <w:r>
        <w:rPr>
          <w:b w:val="0"/>
          <w:i w:val="0"/>
        </w:rPr>
        <w:t xml:space="preserve"> Después vino </w:t>
      </w:r>
      <w:r>
        <w:rPr>
          <w:b/>
          <w:i w:val="0"/>
        </w:rPr>
        <w:t>RFC 2109, febrero de 1998</w:t>
      </w:r>
      <w:r>
        <w:rPr>
          <w:b w:val="0"/>
          <w:i w:val="0"/>
        </w:rPr>
        <w:t xml:space="preserve">, luego </w:t>
      </w:r>
      <w:r>
        <w:rPr>
          <w:b/>
          <w:i w:val="0"/>
        </w:rPr>
        <w:t>RFC 2965, octubre de 2000</w:t>
      </w:r>
      <w:r>
        <w:rPr>
          <w:b w:val="0"/>
          <w:i w:val="0"/>
        </w:rPr>
        <w:t xml:space="preserve"> (que prácticamente no se adoptó) y finalmente </w:t>
      </w:r>
      <w:r>
        <w:rPr>
          <w:b/>
          <w:i w:val="0"/>
        </w:rPr>
        <w:t>RFC 6265, abril de 2011</w:t>
      </w:r>
      <w:r>
        <w:rPr>
          <w:b w:val="0"/>
          <w:i w:val="0"/>
        </w:rPr>
        <w:t>, que es la especificación de cookies que usamos hoy.</w:t>
      </w:r>
    </w:p>
    <w:p>
      <w:r>
        <w:rPr>
          <w:b w:val="0"/>
          <w:i w:val="0"/>
        </w:rPr>
        <w:t xml:space="preserve">Este modelo es extraordinariamente seguro para aplicaciones web tradicionales... y extraordinariamente inadecuado para APIs. ¿Por qué? Porque el estado vive en el servidor. Cada sesión es un registro en una base de datos. Cuando tenés tres aplicaciones móviles, quince integraciones de terceros y cuatro servicios internos, el modelo de "sesión en servidor" se convierte en un cuello de botella de estado y de escalabilidad. Y sobre todo: </w:t>
      </w:r>
      <w:r>
        <w:rPr>
          <w:b/>
          <w:i w:val="0"/>
        </w:rPr>
        <w:t>no delega</w:t>
      </w:r>
      <w:r>
        <w:rPr>
          <w:b w:val="0"/>
          <w:i w:val="0"/>
        </w:rPr>
        <w:t>. La sesión te autentica a vos frente a tu aplicación; no le permite a un tercero actuar en tu nombre con un alcance limitado.</w:t>
      </w:r>
    </w:p>
    <w:p>
      <w:pPr>
        <w:pStyle w:val="Heading2"/>
      </w:pPr>
      <w:r>
        <w:t>1.3 El mundo XML: SAML y WS-Security</w:t>
      </w:r>
    </w:p>
    <w:p>
      <w:r>
        <w:rPr>
          <w:b w:val="0"/>
          <w:i w:val="0"/>
        </w:rPr>
        <w:t xml:space="preserve">Para los que venimos del mundo enterprise, hay que mencionar el otro linaje. </w:t>
      </w:r>
      <w:r>
        <w:rPr>
          <w:b/>
          <w:i w:val="0"/>
        </w:rPr>
        <w:t>SAML 1.0 se publicó como estándar OASIS en noviembre de 2002, y SAML 2.0 en marzo de 2005.</w:t>
      </w:r>
      <w:r>
        <w:rPr>
          <w:b w:val="0"/>
          <w:i w:val="0"/>
        </w:rPr>
        <w:t xml:space="preserve"> </w:t>
      </w:r>
      <w:r>
        <w:rPr>
          <w:b/>
          <w:i w:val="0"/>
        </w:rPr>
        <w:t>WS-Security llegó como estándar OASIS en 2004.</w:t>
      </w:r>
      <w:r>
        <w:rPr>
          <w:b w:val="0"/>
          <w:i w:val="0"/>
        </w:rPr>
        <w:t xml:space="preserve"> Estos mecanismos usan aserciones XML firmadas criptográficamente —</w:t>
      </w:r>
      <w:r>
        <w:rPr>
          <w:b/>
          <w:i w:val="0"/>
        </w:rPr>
        <w:t>XML Digital Signature se estandarizó por el W3C en febrero de 2002 y se publicó como RFC 3275 ese mismo año</w:t>
      </w:r>
      <w:r>
        <w:rPr>
          <w:b w:val="0"/>
          <w:i w:val="0"/>
        </w:rPr>
        <w:t>— y son, en rigor, más seguros que un bearer token: una aserción firmada está atada a un emisor, a un receptor y a un destinatario concretos.</w:t>
      </w:r>
    </w:p>
    <w:p>
      <w:r>
        <w:rPr>
          <w:b w:val="0"/>
          <w:i w:val="0"/>
        </w:rPr>
        <w:t>El problema no era la seguridad. El problema era el peso. Integrar WS-Security entre sistemas heterogéneos era —y sigue siendo— un trabajo enorme. Canonicalización XML, preferencias de algoritmos, prefixes... Para una API moderna en JSON, aquello era artillería pesada contra un mosquitero.</w:t>
      </w:r>
    </w:p>
    <w:p>
      <w:pPr>
        <w:pStyle w:val="Heading2"/>
      </w:pPr>
      <w:r>
        <w:t>1.4 OAuth 1.0: firmar cada request</w:t>
      </w:r>
    </w:p>
    <w:p>
      <w:r>
        <w:rPr>
          <w:b w:val="0"/>
          <w:i w:val="0"/>
        </w:rPr>
        <w:t xml:space="preserve">Aquí aparece el ancestro directo del bearer. </w:t>
      </w:r>
      <w:r>
        <w:rPr>
          <w:b/>
          <w:i w:val="0"/>
        </w:rPr>
        <w:t>OAuth 1.0 nació como especificación comunitaria en diciembre de 2007 y se publicó como RFC 5849 en abril de 2010.</w:t>
      </w:r>
      <w:r>
        <w:rPr>
          <w:b w:val="0"/>
          <w:i w:val="0"/>
        </w:rPr>
        <w:t xml:space="preserve"> Su mecanismo es fascinante porque es exactamente lo contrario del bearer: en OAuth 1.0 </w:t>
      </w:r>
      <w:r>
        <w:rPr>
          <w:b/>
          <w:i w:val="0"/>
        </w:rPr>
        <w:t>no se envía ningún token que se pueda copiar</w:t>
      </w:r>
      <w:r>
        <w:rPr>
          <w:b w:val="0"/>
          <w:i w:val="0"/>
        </w:rPr>
        <w:t>. En su lugar, cada request se firma con HMAC-SHA1 usando un secreto compartido: el consumidor firma la petición con su clave, el servidor verifica la firma, y listo.</w:t>
      </w:r>
    </w:p>
    <w:p>
      <w:r>
        <w:rPr>
          <w:b w:val="0"/>
          <w:i w:val="0"/>
        </w:rPr>
        <w:t xml:space="preserve">¿Qué ganás con eso? Que </w:t>
      </w:r>
      <w:r>
        <w:rPr>
          <w:b/>
          <w:i w:val="0"/>
        </w:rPr>
        <w:t>robar una petición no sirve</w:t>
      </w:r>
      <w:r>
        <w:rPr>
          <w:b w:val="0"/>
          <w:i w:val="0"/>
        </w:rPr>
        <w:t>: la firma está atada al método HTTP, a la URL, a los parámetros. Reusarla en otro contexto la invalida. Es, en el fondo, una demostración de posesión —igual que haría después DPoP—.</w:t>
      </w:r>
    </w:p>
    <w:p>
      <w:r>
        <w:rPr>
          <w:b w:val="0"/>
          <w:i w:val="0"/>
        </w:rPr>
        <w:t>¿Y qué perdés? Complejidad brutal. Hay que canonicalizar exactamente cada parámetro, en el mismo orden, con el mismo encoding; el secreto debe estar compartido entre cada par de consumidor y proveedor; y cada nuevo servicio que quiera verificar requests necesita una integración propia. Además, en 2008-2010 el mundo se estaba moviendo a móviles nativos, donde los flujos de OAuth 1.0 —con intercambio de firma de tres leguas— eran una pesadilla de experiencia de usuario.</w:t>
      </w:r>
    </w:p>
    <w:p>
      <w:pPr>
        <w:pStyle w:val="Heading2"/>
      </w:pPr>
      <w:r>
        <w:t>1.5 OAuth 2.0 y el nacimiento del bearer</w:t>
      </w:r>
    </w:p>
    <w:p>
      <w:r>
        <w:rPr>
          <w:b w:val="0"/>
          <w:i w:val="0"/>
        </w:rPr>
        <w:t xml:space="preserve">La historia del salto está documentada. </w:t>
      </w:r>
      <w:r>
        <w:rPr>
          <w:b/>
          <w:i w:val="0"/>
        </w:rPr>
        <w:t>OAuth WRAP (Web Resource Authorization Profiles) apareció como borrador en enero de 2010</w:t>
      </w:r>
      <w:r>
        <w:rPr>
          <w:b w:val="0"/>
          <w:i w:val="0"/>
        </w:rPr>
        <w:t xml:space="preserve"> —la referencia está en las bibliografías informativas de RFC 6749—, y fue el laboratorio donde se probó la idea de "simplemente manda un string corto y simple". De ahí salió </w:t>
      </w:r>
      <w:r>
        <w:rPr>
          <w:b/>
          <w:i w:val="0"/>
        </w:rPr>
        <w:t>RFC 6749, "The OAuth 2.0 Authorization Framework", octubre de 2012</w:t>
      </w:r>
      <w:r>
        <w:rPr>
          <w:b w:val="0"/>
          <w:i w:val="0"/>
        </w:rPr>
        <w:t>.</w:t>
      </w:r>
    </w:p>
    <w:p>
      <w:r>
        <w:rPr>
          <w:b w:val="0"/>
          <w:i w:val="0"/>
        </w:rPr>
        <w:t xml:space="preserve">La motivación de OAuth 2.0, escrita en su propia introducción, es separar la autorización de la autenticación: el cliente obtiene </w:t>
      </w:r>
      <w:r>
        <w:rPr>
          <w:b w:val="0"/>
          <w:i/>
        </w:rPr>
        <w:t>un conjunto diferente de credenciales</w:t>
      </w:r>
      <w:r>
        <w:rPr>
          <w:b w:val="0"/>
          <w:i w:val="0"/>
        </w:rPr>
        <w:t xml:space="preserve"> que las del usuario. En lugar de la password, obtiene </w:t>
      </w:r>
      <w:r>
        <w:rPr>
          <w:b w:val="0"/>
          <w:i/>
        </w:rPr>
        <w:t>an access token — a string denoting a specific scope, lifetime, and other access attributes</w:t>
      </w:r>
      <w:r>
        <w:rPr>
          <w:b w:val="0"/>
          <w:i w:val="0"/>
        </w:rPr>
        <w:t>.</w:t>
      </w:r>
    </w:p>
    <w:p>
      <w:r>
        <w:rPr>
          <w:b w:val="0"/>
          <w:i w:val="0"/>
        </w:rPr>
        <w:t xml:space="preserve">Ahora viene el detalle histórico que casi nadie cuenta y que te va a diferenciar en la charla: </w:t>
      </w:r>
      <w:r>
        <w:rPr>
          <w:b/>
          <w:i w:val="0"/>
        </w:rPr>
        <w:t>OAuth 2.0 no nació siendo sólo bearer.</w:t>
      </w:r>
      <w:r>
        <w:rPr>
          <w:b w:val="0"/>
          <w:i w:val="0"/>
        </w:rPr>
        <w:t xml:space="preserve"> Su §7.1, "Access Token Types", define explícitamente </w:t>
      </w:r>
      <w:r>
        <w:rPr>
          <w:b/>
          <w:i w:val="0"/>
        </w:rPr>
        <w:t>dos</w:t>
      </w:r>
      <w:r>
        <w:rPr>
          <w:b w:val="0"/>
          <w:i w:val="0"/>
        </w:rPr>
        <w:t xml:space="preserve"> tipos de token:</w:t>
      </w:r>
    </w:p>
    <w:p>
      <w:pPr>
        <w:pStyle w:val="ListBullet"/>
      </w:pPr>
      <w:r>
        <w:rPr>
          <w:b w:val="0"/>
          <w:i w:val="0"/>
        </w:rPr>
        <w:t xml:space="preserve">el tipo </w:t>
      </w:r>
      <w:r>
        <w:rPr>
          <w:rFonts w:ascii="Consolas" w:hAnsi="Consolas"/>
          <w:b w:val="0"/>
          <w:i w:val="0"/>
          <w:color w:val="A03030"/>
        </w:rPr>
        <w:t>bearer</w:t>
      </w:r>
      <w:r>
        <w:rPr>
          <w:b w:val="0"/>
          <w:i w:val="0"/>
        </w:rPr>
        <w:t>, que se usa simplemente incluyendo el string en la petición, y</w:t>
      </w:r>
    </w:p>
    <w:p>
      <w:pPr>
        <w:pStyle w:val="ListBullet"/>
      </w:pPr>
      <w:r>
        <w:rPr>
          <w:b w:val="0"/>
          <w:i w:val="0"/>
        </w:rPr>
        <w:t xml:space="preserve">el tipo </w:t>
      </w:r>
      <w:r>
        <w:rPr>
          <w:rFonts w:ascii="Consolas" w:hAnsi="Consolas"/>
          <w:b w:val="0"/>
          <w:i w:val="0"/>
          <w:color w:val="A03030"/>
        </w:rPr>
        <w:t>mac</w:t>
      </w:r>
      <w:r>
        <w:rPr>
          <w:b w:val="0"/>
          <w:i w:val="0"/>
        </w:rPr>
        <w:t xml:space="preserve">, que se usa emitiendo una clave MAC junto con el token y </w:t>
      </w:r>
      <w:r>
        <w:rPr>
          <w:b/>
          <w:i w:val="0"/>
        </w:rPr>
        <w:t>firmando componentes de la petición HTTP</w:t>
      </w:r>
      <w:r>
        <w:rPr>
          <w:b w:val="0"/>
          <w:i w:val="0"/>
        </w:rPr>
        <w:t xml:space="preserve"> con ella.</w:t>
      </w:r>
    </w:p>
    <w:p>
      <w:r>
        <w:rPr>
          <w:b w:val="0"/>
          <w:i w:val="0"/>
        </w:rPr>
        <w:t xml:space="preserve">El tipo MAC se definía en un borrador de la IETF: </w:t>
      </w:r>
      <w:r>
        <w:rPr>
          <w:b/>
          <w:i w:val="0"/>
        </w:rPr>
        <w:t>"HTTP Authentication: MAC Access Authentication", con primera versión de febrero de 2012 (referencia `[OAuth-HTTP-MAC]` en RFC 6749)</w:t>
      </w:r>
      <w:r>
        <w:rPr>
          <w:b w:val="0"/>
          <w:i w:val="0"/>
        </w:rPr>
        <w:t xml:space="preserve">. Y ese borrador </w:t>
      </w:r>
      <w:r>
        <w:rPr>
          <w:b/>
          <w:i w:val="0"/>
        </w:rPr>
        <w:t>nunca llegó a ser RFC: fue abandonado.</w:t>
      </w:r>
      <w:r>
        <w:rPr>
          <w:b w:val="0"/>
          <w:i w:val="0"/>
        </w:rPr>
        <w:t xml:space="preserve"> La historia de por qué se abandonó es la historia de por qué usamos bearer tokens. El ecosistema eligió simplicidad. La firma por request era técnicamente superior, pero el costo de implementación, de operación y de experiencia de usuario fue decisivo. El bearer ganó porque es trivial de implementar: un string en una cabecera HTTP no necesita canonicalización, ni secretos compartidos, ni relojes sincronizados, ni integración por par.</w:t>
      </w:r>
    </w:p>
    <w:p>
      <w:r>
        <w:rPr>
          <w:b w:val="0"/>
          <w:i w:val="0"/>
        </w:rPr>
        <w:t xml:space="preserve">Y con él llegó la norma que lo consagra: </w:t>
      </w:r>
      <w:r>
        <w:rPr>
          <w:b/>
          <w:i w:val="0"/>
        </w:rPr>
        <w:t>RFC 6750, octubre de 2012</w:t>
      </w:r>
      <w:r>
        <w:rPr>
          <w:b w:val="0"/>
          <w:i w:val="0"/>
        </w:rPr>
        <w:t>, "Bearer Token Usage".</w:t>
      </w:r>
    </w:p>
    <w:p>
      <w:r>
        <w:rPr>
          <w:b w:val="0"/>
          <w:i/>
        </w:rPr>
        <w:t>Slide sugerida: dos columnas — "Firmar cada request (OAuth 1.0, MAC)" vs "Mandar un string (Bearer)". Columna izquierda: más seguro, más caro. Columna derecha: menos seguro, universal.</w:t>
      </w:r>
    </w:p>
    <w:p>
      <w:pPr>
        <w:pStyle w:val="Heading2"/>
      </w:pPr>
      <w:r>
        <w:t>1.6 La admisión que cambia el tono de la charla</w:t>
      </w:r>
    </w:p>
    <w:p>
      <w:r>
        <w:rPr>
          <w:b w:val="0"/>
          <w:i w:val="0"/>
        </w:rPr>
        <w:t xml:space="preserve">Acá viene el momento académico de este bloque. El riesgo del bearer no es un descubrimiento posterior ni una falla de implementación: </w:t>
      </w:r>
      <w:r>
        <w:rPr>
          <w:b/>
          <w:i w:val="0"/>
        </w:rPr>
        <w:t>está reconocido en el corazón mismo de la norma que lo define.</w:t>
      </w:r>
    </w:p>
    <w:p>
      <w:r>
        <w:rPr>
          <w:b w:val="0"/>
          <w:i w:val="0"/>
        </w:rPr>
        <w:t xml:space="preserve">Cita textual de </w:t>
      </w:r>
      <w:r>
        <w:rPr>
          <w:b/>
          <w:i w:val="0"/>
        </w:rPr>
        <w:t>RFC 6749, Sección 10.3 (Considerations for Token Holders... Access Tokens)</w:t>
      </w:r>
      <w:r>
        <w:rPr>
          <w:b w:val="0"/>
          <w:i w:val="0"/>
        </w:rPr>
        <w:t>:</w:t>
      </w:r>
    </w:p>
    <w:p>
      <w:pPr>
        <w:pStyle w:val="Quote"/>
      </w:pPr>
      <w:r>
        <w:rPr>
          <w:b w:val="0"/>
          <w:i/>
        </w:rPr>
        <w:t>"This specification does not provide any methods for the resource server to ensure that an access token presented to it by a given client was issued to that client by the authorization server."</w:t>
      </w:r>
    </w:p>
    <w:p>
      <w:r>
        <w:rPr>
          <w:b w:val="0"/>
          <w:i w:val="0"/>
        </w:rPr>
        <w:t xml:space="preserve">Traducción libre: </w:t>
      </w:r>
      <w:r>
        <w:rPr>
          <w:b w:val="0"/>
          <w:i/>
        </w:rPr>
        <w:t>esta especificación no provee ningún método para que el servidor de recursos se asegure de que un access token presentado por un cliente le fue emitido realmente a ese cliente.</w:t>
      </w:r>
    </w:p>
    <w:p>
      <w:r>
        <w:rPr>
          <w:b w:val="0"/>
          <w:i w:val="0"/>
        </w:rPr>
        <w:t xml:space="preserve">Es decir: desde 2012, el estándar dice en voz alta que </w:t>
      </w:r>
      <w:r>
        <w:rPr>
          <w:b/>
          <w:i w:val="0"/>
        </w:rPr>
        <w:t>un servidor de recursos no puede distinguir entre el cliente legítimo y quien robó su token.</w:t>
      </w:r>
      <w:r>
        <w:rPr>
          <w:b w:val="0"/>
          <w:i w:val="0"/>
        </w:rPr>
        <w:t xml:space="preserve"> La validación de firma —si es que la hay— sólo verifica que el token fue emitido por el servidor de autorización. No verifica a quién.</w:t>
      </w:r>
    </w:p>
    <w:p>
      <w:r>
        <w:rPr>
          <w:b/>
          <w:i w:val="0"/>
        </w:rPr>
        <w:t>Frase de cierre del bloque:</w:t>
      </w:r>
      <w:r>
        <w:rPr>
          <w:b w:val="0"/>
          <w:i w:val="0"/>
        </w:rPr>
        <w:t xml:space="preserve"> </w:t>
      </w:r>
      <w:r>
        <w:rPr>
          <w:b w:val="0"/>
          <w:i/>
        </w:rPr>
        <w:t>"El bearer token no falló: cumplió exactamente con lo que prometió. Prometió autorizar por posesión, y autoriza por posesión. Todo lo demás —identificar al portador, saber si sigue vigente, saber si el portador debía tenerlo— es trabajo que la norma dejó deliberadamente fuera."</w:t>
      </w:r>
    </w:p>
    <w:p>
      <w:r>
        <w:br w:type="page"/>
      </w:r>
    </w:p>
    <w:p>
      <w:pPr>
        <w:pStyle w:val="Heading1"/>
      </w:pPr>
      <w:r>
        <w:t>BLOQUE 2 — La familia de tokens: de dónde nacen y cómo se relacionan (≈14 min)</w:t>
      </w:r>
    </w:p>
    <w:p>
      <w:r>
        <w:rPr>
          <w:b w:val="0"/>
          <w:i/>
        </w:rPr>
        <w:t>Slide 4: diagrama de flujo Authorization Code Grant con los cuatro tokens numerados. Este es el slide más importante de la charla: todo lo demás cuelga de él.</w:t>
      </w:r>
    </w:p>
    <w:p>
      <w:pPr>
        <w:pStyle w:val="Heading2"/>
      </w:pPr>
      <w:r>
        <w:t>2.1 El mapa: cuatro tokens que nacen en momentos distintos</w:t>
      </w:r>
    </w:p>
    <w:p>
      <w:r>
        <w:rPr>
          <w:b w:val="0"/>
          <w:i w:val="0"/>
        </w:rPr>
        <w:t xml:space="preserve">Un error muy común —incluso entre gente técnica— es hablar de "el token" como si hubiera uno solo. En realidad, un flujo OAuth 2.0 / OIDC moderno genera </w:t>
      </w:r>
      <w:r>
        <w:rPr>
          <w:b/>
          <w:i w:val="0"/>
        </w:rPr>
        <w:t>hasta cuatro artefactos distintos, en momentos distintos, con vidas distintas y con destinatarios distintos</w:t>
      </w:r>
      <w:r>
        <w:rPr>
          <w:b w:val="0"/>
          <w:i w:val="0"/>
        </w:rPr>
        <w:t>. Vamos a verlos en orden de aparición en el flujo.</w:t>
      </w:r>
    </w:p>
    <w:p>
      <w:r>
        <w:rPr>
          <w:b w:val="0"/>
          <w:i w:val="0"/>
        </w:rPr>
        <w:t>Usaré una historia simple: ustedes usan una aplicación de terceros —pongamos una app de notas— que quiere leer sus archivos en un servicio en la nube.</w:t>
      </w:r>
    </w:p>
    <w:p>
      <w:pPr>
        <w:pStyle w:val="Heading3"/>
      </w:pPr>
      <w:r>
        <w:t>Paso 0: la sesión de la persona (session cookie)</w:t>
      </w:r>
    </w:p>
    <w:p>
      <w:r>
        <w:rPr>
          <w:b w:val="0"/>
          <w:i w:val="0"/>
        </w:rPr>
        <w:t xml:space="preserve">Antes que nada, la persona inicia sesión en el servicio de nube. Eso genera una </w:t>
      </w:r>
      <w:r>
        <w:rPr>
          <w:b/>
          <w:i w:val="0"/>
        </w:rPr>
        <w:t>cookie de sesión</w:t>
      </w:r>
      <w:r>
        <w:rPr>
          <w:b w:val="0"/>
          <w:i w:val="0"/>
        </w:rPr>
        <w:t xml:space="preserve">. </w:t>
      </w:r>
      <w:r>
        <w:rPr>
          <w:b/>
          <w:i w:val="0"/>
        </w:rPr>
        <w:t>Primera aparición del concepto de sesión persistente en la web: cookies de Netscape, 1996; estandarizadas en RFC 6265, abril de 2011.</w:t>
      </w:r>
      <w:r>
        <w:rPr>
          <w:b w:val="0"/>
          <w:i w:val="0"/>
        </w:rPr>
        <w:t xml:space="preserve"> La sesión pertenece a la relación </w:t>
      </w:r>
      <w:r>
        <w:rPr>
          <w:b w:val="0"/>
          <w:i/>
        </w:rPr>
        <w:t>persona ↔ navegador ↔ servicio</w:t>
      </w:r>
      <w:r>
        <w:rPr>
          <w:b w:val="0"/>
          <w:i w:val="0"/>
        </w:rPr>
        <w:t>. Es el ancla de identidad de la que después colgará todo lo demás.</w:t>
      </w:r>
    </w:p>
    <w:p>
      <w:pPr>
        <w:pStyle w:val="Heading3"/>
      </w:pPr>
      <w:r>
        <w:t>Paso 1: el authorization code (el código de autorización)</w:t>
      </w:r>
    </w:p>
    <w:p>
      <w:r>
        <w:rPr>
          <w:b w:val="0"/>
          <w:i w:val="0"/>
        </w:rPr>
        <w:t xml:space="preserve">La app redirige al navegador al servicio de autorización; la persona aprueba; el navegador vuelve a la app con un </w:t>
      </w:r>
      <w:r>
        <w:rPr>
          <w:b/>
          <w:i w:val="0"/>
        </w:rPr>
        <w:t>código de corta vida</w:t>
      </w:r>
      <w:r>
        <w:rPr>
          <w:b w:val="0"/>
          <w:i w:val="0"/>
        </w:rPr>
        <w:t xml:space="preserve"> en la URL.</w:t>
      </w:r>
    </w:p>
    <w:p>
      <w:r>
        <w:rPr>
          <w:b/>
          <w:i w:val="0"/>
        </w:rPr>
        <w:t>Primera aparición: RFC 6749, Sección 4.1, octubre de 2012.</w:t>
      </w:r>
    </w:p>
    <w:p>
      <w:r>
        <w:rPr>
          <w:b w:val="0"/>
          <w:i w:val="0"/>
        </w:rPr>
        <w:t>Características que importan:</w:t>
      </w:r>
    </w:p>
    <w:p>
      <w:pPr>
        <w:pStyle w:val="ListBullet"/>
      </w:pPr>
      <w:r>
        <w:rPr>
          <w:b/>
          <w:i w:val="0"/>
        </w:rPr>
        <w:t>Es de un solo uso.</w:t>
      </w:r>
      <w:r>
        <w:rPr>
          <w:b w:val="0"/>
          <w:i w:val="0"/>
        </w:rPr>
        <w:t xml:space="preserve"> RFC 6749 §4.1.2 dice textualmente que, si un código se usa más de una vez, el servidor de autorización </w:t>
      </w:r>
      <w:r>
        <w:rPr>
          <w:b/>
          <w:i w:val="0"/>
        </w:rPr>
        <w:t>debe</w:t>
      </w:r>
      <w:r>
        <w:rPr>
          <w:b w:val="0"/>
          <w:i w:val="0"/>
        </w:rPr>
        <w:t xml:space="preserve"> denegar el request y </w:t>
      </w:r>
      <w:r>
        <w:rPr>
          <w:b/>
          <w:i w:val="0"/>
        </w:rPr>
        <w:t>debería</w:t>
      </w:r>
      <w:r>
        <w:rPr>
          <w:b w:val="0"/>
          <w:i w:val="0"/>
        </w:rPr>
        <w:t xml:space="preserve"> revocar todos los tokens emitidos con ese código.</w:t>
      </w:r>
    </w:p>
    <w:p>
      <w:pPr>
        <w:pStyle w:val="ListBullet"/>
      </w:pPr>
      <w:r>
        <w:rPr>
          <w:b/>
          <w:i w:val="0"/>
        </w:rPr>
        <w:t>Se emite en el front channel</w:t>
      </w:r>
      <w:r>
        <w:rPr>
          <w:b w:val="0"/>
          <w:i w:val="0"/>
        </w:rPr>
        <w:t xml:space="preserve"> (a través del navegador, en la URL).</w:t>
      </w:r>
    </w:p>
    <w:p>
      <w:pPr>
        <w:pStyle w:val="ListBullet"/>
      </w:pPr>
      <w:r>
        <w:rPr>
          <w:b/>
          <w:i w:val="0"/>
        </w:rPr>
        <w:t>Está atado al client_id y a la redirect_uri.</w:t>
      </w:r>
    </w:p>
    <w:p>
      <w:pPr>
        <w:pStyle w:val="ListBullet"/>
      </w:pPr>
      <w:r>
        <w:rPr>
          <w:b w:val="0"/>
          <w:i w:val="0"/>
        </w:rPr>
        <w:t xml:space="preserve">Su propósito: </w:t>
      </w:r>
      <w:r>
        <w:rPr>
          <w:b/>
          <w:i w:val="0"/>
        </w:rPr>
        <w:t>cambiar un artefacto público por uno privado.</w:t>
      </w:r>
      <w:r>
        <w:rPr>
          <w:b w:val="0"/>
          <w:i w:val="0"/>
        </w:rPr>
        <w:t xml:space="preserve"> El código viaja por el navegador (visible, potencialmente filtrable); el intercambio posterior ocurre por canal trasero, entre servidores, con autenticación de cliente.</w:t>
      </w:r>
    </w:p>
    <w:p>
      <w:r>
        <w:rPr>
          <w:b w:val="0"/>
          <w:i/>
        </w:rPr>
        <w:t>Nota para el ponente:</w:t>
      </w:r>
      <w:r>
        <w:rPr>
          <w:b w:val="0"/>
          <w:i w:val="0"/>
        </w:rPr>
        <w:t xml:space="preserve"> éste es el momento de decir "el código de autorización es el token que menos se parece a un token: es un cupón de un solo uso".</w:t>
      </w:r>
    </w:p>
    <w:p>
      <w:pPr>
        <w:pStyle w:val="Heading3"/>
      </w:pPr>
      <w:r>
        <w:t>Paso 2: el access token (el que viaja a la API)</w:t>
      </w:r>
    </w:p>
    <w:p>
      <w:r>
        <w:rPr>
          <w:b w:val="0"/>
          <w:i w:val="0"/>
        </w:rPr>
        <w:t xml:space="preserve">En el paso anterior, la app intercambia el código por... esto. El </w:t>
      </w:r>
      <w:r>
        <w:rPr>
          <w:b/>
          <w:i w:val="0"/>
        </w:rPr>
        <w:t>access token</w:t>
      </w:r>
      <w:r>
        <w:rPr>
          <w:b w:val="0"/>
          <w:i w:val="0"/>
        </w:rPr>
        <w:t xml:space="preserve"> es el que se presenta ante la API en cada petición.</w:t>
      </w:r>
    </w:p>
    <w:p>
      <w:r>
        <w:rPr>
          <w:b/>
          <w:i w:val="0"/>
        </w:rPr>
        <w:t>Primera aparición como concepto en OAuth: RFC 6749, Sección 5, octubre de 2012. Primera aparición de su forma bearer: RFC 6750, mismo mes.</w:t>
      </w:r>
      <w:r>
        <w:rPr>
          <w:b w:val="0"/>
          <w:i w:val="0"/>
        </w:rPr>
        <w:t xml:space="preserve"> Si es un JWT, su formato está definido por </w:t>
      </w:r>
      <w:r>
        <w:rPr>
          <w:b/>
          <w:i w:val="0"/>
        </w:rPr>
        <w:t>RFC 7519 (mayo de 2015)</w:t>
      </w:r>
      <w:r>
        <w:rPr>
          <w:b w:val="0"/>
          <w:i w:val="0"/>
        </w:rPr>
        <w:t xml:space="preserve">; si es un access token en formato JWT con perfil de OAuth 2.0, existe desde </w:t>
      </w:r>
      <w:r>
        <w:rPr>
          <w:b/>
          <w:i w:val="0"/>
        </w:rPr>
        <w:t>RFC 9068, mayo de 2021</w:t>
      </w:r>
      <w:r>
        <w:rPr>
          <w:b w:val="0"/>
          <w:i w:val="0"/>
        </w:rPr>
        <w:t>.</w:t>
      </w:r>
    </w:p>
    <w:p>
      <w:r>
        <w:rPr>
          <w:b w:val="0"/>
          <w:i w:val="0"/>
        </w:rPr>
        <w:t>Características:</w:t>
      </w:r>
    </w:p>
    <w:p>
      <w:pPr>
        <w:pStyle w:val="ListBullet"/>
      </w:pPr>
      <w:r>
        <w:rPr>
          <w:b/>
          <w:i w:val="0"/>
        </w:rPr>
        <w:t>Vida corta</w:t>
      </w:r>
      <w:r>
        <w:rPr>
          <w:b w:val="0"/>
          <w:i w:val="0"/>
        </w:rPr>
        <w:t xml:space="preserve"> (minutos u horas; RFC 6749 recomienda expirar, y no fija un máximo —ahí está la trampa: la vida la decide quien implementa).</w:t>
      </w:r>
    </w:p>
    <w:p>
      <w:pPr>
        <w:pStyle w:val="ListBullet"/>
      </w:pPr>
      <w:r>
        <w:rPr>
          <w:b/>
          <w:i w:val="0"/>
        </w:rPr>
        <w:t>Alcance limitado</w:t>
      </w:r>
      <w:r>
        <w:rPr>
          <w:b w:val="0"/>
          <w:i w:val="0"/>
        </w:rPr>
        <w:t xml:space="preserve"> (</w:t>
      </w:r>
      <w:r>
        <w:rPr>
          <w:rFonts w:ascii="Consolas" w:hAnsi="Consolas"/>
          <w:b w:val="0"/>
          <w:i w:val="0"/>
          <w:color w:val="A03030"/>
        </w:rPr>
        <w:t>scope</w:t>
      </w:r>
      <w:r>
        <w:rPr>
          <w:b w:val="0"/>
          <w:i w:val="0"/>
        </w:rPr>
        <w:t>): sólo lo que se pidió y se aprobó.</w:t>
      </w:r>
    </w:p>
    <w:p>
      <w:pPr>
        <w:pStyle w:val="ListBullet"/>
      </w:pPr>
      <w:r>
        <w:rPr>
          <w:b/>
          <w:i w:val="0"/>
        </w:rPr>
        <w:t>Es el token que viaja al recurso.</w:t>
      </w:r>
      <w:r>
        <w:rPr>
          <w:b w:val="0"/>
          <w:i w:val="0"/>
        </w:rPr>
        <w:t xml:space="preserve"> Por eso es el que llamamos bearer: el recurso no lo verifica con el emisor en cada request (normalmente), sólo lo acepta.</w:t>
      </w:r>
    </w:p>
    <w:p>
      <w:pPr>
        <w:pStyle w:val="ListBullet"/>
      </w:pPr>
      <w:r>
        <w:rPr>
          <w:b/>
          <w:i w:val="0"/>
        </w:rPr>
        <w:t>Audience (`aud`)</w:t>
      </w:r>
      <w:r>
        <w:rPr>
          <w:b w:val="0"/>
          <w:i w:val="0"/>
        </w:rPr>
        <w:t>: para qué servicio vale.</w:t>
      </w:r>
    </w:p>
    <w:p>
      <w:pPr>
        <w:pStyle w:val="Heading3"/>
      </w:pPr>
      <w:r>
        <w:t>Paso 3: el refresh token (el que renueva sin volver a pedir permiso)</w:t>
      </w:r>
    </w:p>
    <w:p>
      <w:r>
        <w:rPr>
          <w:b w:val="0"/>
          <w:i w:val="0"/>
        </w:rPr>
        <w:t xml:space="preserve">Cuando el access token expira, la app necesita continuar sin volver a arrastrar a la persona por toda la pantalla de consentimiento. Ahí entra el </w:t>
      </w:r>
      <w:r>
        <w:rPr>
          <w:b/>
          <w:i w:val="0"/>
        </w:rPr>
        <w:t>refresh token</w:t>
      </w:r>
      <w:r>
        <w:rPr>
          <w:b w:val="0"/>
          <w:i w:val="0"/>
        </w:rPr>
        <w:t>: un token de vida larga que sólo se usa contra el endpoint de token, nunca contra la API de recursos.</w:t>
      </w:r>
    </w:p>
    <w:p>
      <w:r>
        <w:rPr>
          <w:b/>
          <w:i w:val="0"/>
        </w:rPr>
        <w:t>Primera aparición: RFC 6749, Secciones 1.5 y 6, octubre de 2012.</w:t>
      </w:r>
    </w:p>
    <w:p>
      <w:r>
        <w:rPr>
          <w:b w:val="0"/>
          <w:i w:val="0"/>
        </w:rPr>
        <w:t>Características y salvaguardas definidas en la norma:</w:t>
      </w:r>
    </w:p>
    <w:p>
      <w:pPr>
        <w:pStyle w:val="ListBullet"/>
      </w:pPr>
      <w:r>
        <w:rPr>
          <w:b/>
          <w:i w:val="0"/>
        </w:rPr>
        <w:t>Se emite a clientes confidenciales</w:t>
      </w:r>
      <w:r>
        <w:rPr>
          <w:b w:val="0"/>
          <w:i w:val="0"/>
        </w:rPr>
        <w:t xml:space="preserve"> (o a públicos con restricciones); viaja por canal trasero.</w:t>
      </w:r>
    </w:p>
    <w:p>
      <w:pPr>
        <w:pStyle w:val="ListBullet"/>
      </w:pPr>
      <w:r>
        <w:rPr>
          <w:b/>
          <w:i w:val="0"/>
        </w:rPr>
        <w:t>Debe mantenerse la vinculación con el cliente</w:t>
      </w:r>
      <w:r>
        <w:rPr>
          <w:b w:val="0"/>
          <w:i w:val="0"/>
        </w:rPr>
        <w:t xml:space="preserve"> (RFC 6749 §10.4).</w:t>
      </w:r>
    </w:p>
    <w:p>
      <w:pPr>
        <w:pStyle w:val="ListBullet"/>
      </w:pPr>
      <w:r>
        <w:rPr>
          <w:b/>
          <w:i w:val="0"/>
        </w:rPr>
        <w:t>Rotación de refresh token:</w:t>
      </w:r>
      <w:r>
        <w:rPr>
          <w:b w:val="0"/>
          <w:i w:val="0"/>
        </w:rPr>
        <w:t xml:space="preserve"> RFC 6749 §10.4 la sugiere como mecanismo de detección de abuso —"el servidor de autorización podría emplear refresh token rotation"—. </w:t>
      </w:r>
      <w:r>
        <w:rPr>
          <w:b/>
          <w:i w:val="0"/>
        </w:rPr>
        <w:t>RFC 9700, enero de 2025, la convierte en práctica obligatoria para clientes públicos.</w:t>
      </w:r>
      <w:r>
        <w:rPr>
          <w:b w:val="0"/>
          <w:i w:val="0"/>
        </w:rPr>
        <w:t xml:space="preserve"> La rotación es, en la práctica, el mecanismo que convierte al refresh token en un artefacto de un solo uso: si un atacante lo usa, la rotación del legítimo lo delata.</w:t>
      </w:r>
    </w:p>
    <w:p>
      <w:pPr>
        <w:pStyle w:val="ListBullet"/>
      </w:pPr>
      <w:r>
        <w:rPr>
          <w:b/>
          <w:i w:val="0"/>
        </w:rPr>
        <w:t>Se puede revocar:</w:t>
      </w:r>
      <w:r>
        <w:rPr>
          <w:b w:val="0"/>
          <w:i w:val="0"/>
        </w:rPr>
        <w:t xml:space="preserve"> </w:t>
      </w:r>
      <w:r>
        <w:rPr>
          <w:b/>
          <w:i w:val="0"/>
        </w:rPr>
        <w:t>RFC 7009, octubre de 2013</w:t>
      </w:r>
      <w:r>
        <w:rPr>
          <w:b w:val="0"/>
          <w:i w:val="0"/>
        </w:rPr>
        <w:t>, "OAuth 2.0 Token Revocation", define el endpoint para hacerlo.</w:t>
      </w:r>
    </w:p>
    <w:p>
      <w:r>
        <w:rPr>
          <w:b w:val="0"/>
          <w:i/>
        </w:rPr>
        <w:t>Cita hablada sugerida:</w:t>
      </w:r>
      <w:r>
        <w:rPr>
          <w:b w:val="0"/>
          <w:i w:val="0"/>
        </w:rPr>
        <w:t xml:space="preserve"> "El access token es el boleto de entrada al teatro. El refresh token es la acreditación que te deja pedir un boleto nuevo toda la semana sin volver a pasar por la taquilla. Robar una no es robar la otra —pero se relacionan: por eso se rotan juntos."</w:t>
      </w:r>
    </w:p>
    <w:p>
      <w:pPr>
        <w:pStyle w:val="Heading3"/>
      </w:pPr>
      <w:r>
        <w:t>Paso 4: el ID token (que no es un token de acceso)</w:t>
      </w:r>
    </w:p>
    <w:p>
      <w:r>
        <w:rPr>
          <w:b w:val="0"/>
          <w:i w:val="0"/>
        </w:rPr>
        <w:t xml:space="preserve">Y acá aparece el confundido más famoso de la fiesta. </w:t>
      </w:r>
      <w:r>
        <w:rPr>
          <w:b/>
          <w:i w:val="0"/>
        </w:rPr>
        <w:t>OpenID Connect, primera aparición: especificaciones finales aprobadas por la OpenID Foundation el 26 de febrero de 2014</w:t>
      </w:r>
      <w:r>
        <w:rPr>
          <w:b w:val="0"/>
          <w:i w:val="0"/>
        </w:rPr>
        <w:t xml:space="preserve"> (borradores en circulación desde 2012). OIDC añade sobre OAuth 2.0 un </w:t>
      </w:r>
      <w:r>
        <w:rPr>
          <w:b/>
          <w:i w:val="0"/>
        </w:rPr>
        <w:t>ID token</w:t>
      </w:r>
      <w:r>
        <w:rPr>
          <w:b w:val="0"/>
          <w:i w:val="0"/>
        </w:rPr>
        <w:t xml:space="preserve">: un </w:t>
      </w:r>
      <w:r>
        <w:rPr>
          <w:b/>
          <w:i w:val="0"/>
        </w:rPr>
        <w:t>JWT</w:t>
      </w:r>
      <w:r>
        <w:rPr>
          <w:b w:val="0"/>
          <w:i w:val="0"/>
        </w:rPr>
        <w:t xml:space="preserve"> que responde a la pregunta </w:t>
      </w:r>
      <w:r>
        <w:rPr>
          <w:b w:val="0"/>
          <w:i/>
        </w:rPr>
        <w:t>"¿quién es esta persona y cómo se autenticó?"</w:t>
      </w:r>
      <w:r>
        <w:rPr>
          <w:b w:val="0"/>
          <w:i w:val="0"/>
        </w:rPr>
        <w:t xml:space="preserve">, no </w:t>
      </w:r>
      <w:r>
        <w:rPr>
          <w:b w:val="0"/>
          <w:i/>
        </w:rPr>
        <w:t>"¿qué puede hacer?"</w:t>
      </w:r>
      <w:r>
        <w:rPr>
          <w:b w:val="0"/>
          <w:i w:val="0"/>
        </w:rPr>
        <w:t>.</w:t>
      </w:r>
    </w:p>
    <w:p>
      <w:r>
        <w:rPr>
          <w:b w:val="0"/>
          <w:i w:val="0"/>
        </w:rPr>
        <w:t>Características que debés enfatizar:</w:t>
      </w:r>
    </w:p>
    <w:p>
      <w:pPr>
        <w:pStyle w:val="ListBullet"/>
      </w:pPr>
      <w:r>
        <w:rPr>
          <w:b/>
          <w:i w:val="0"/>
        </w:rPr>
        <w:t>Va dirigido a la aplicación cliente, no a la API de recursos.</w:t>
      </w:r>
      <w:r>
        <w:rPr>
          <w:b w:val="0"/>
          <w:i w:val="0"/>
        </w:rPr>
        <w:t xml:space="preserve"> Lleva </w:t>
      </w:r>
      <w:r>
        <w:rPr>
          <w:rFonts w:ascii="Consolas" w:hAnsi="Consolas"/>
          <w:b w:val="0"/>
          <w:i w:val="0"/>
          <w:color w:val="A03030"/>
        </w:rPr>
        <w:t>aud</w:t>
      </w:r>
      <w:r>
        <w:rPr>
          <w:b w:val="0"/>
          <w:i w:val="0"/>
        </w:rPr>
        <w:t xml:space="preserve"> = el client_id de la app.</w:t>
      </w:r>
    </w:p>
    <w:p>
      <w:pPr>
        <w:pStyle w:val="ListBullet"/>
      </w:pPr>
      <w:r>
        <w:rPr>
          <w:b/>
          <w:i w:val="0"/>
        </w:rPr>
        <w:t>Contiene claims de autenticación</w:t>
      </w:r>
      <w:r>
        <w:rPr>
          <w:b w:val="0"/>
          <w:i w:val="0"/>
        </w:rPr>
        <w:t xml:space="preserve">: </w:t>
      </w:r>
      <w:r>
        <w:rPr>
          <w:rFonts w:ascii="Consolas" w:hAnsi="Consolas"/>
          <w:b w:val="0"/>
          <w:i w:val="0"/>
          <w:color w:val="A03030"/>
        </w:rPr>
        <w:t>sub</w:t>
      </w:r>
      <w:r>
        <w:rPr>
          <w:b w:val="0"/>
          <w:i w:val="0"/>
        </w:rPr>
        <w:t xml:space="preserve">, </w:t>
      </w:r>
      <w:r>
        <w:rPr>
          <w:rFonts w:ascii="Consolas" w:hAnsi="Consolas"/>
          <w:b w:val="0"/>
          <w:i w:val="0"/>
          <w:color w:val="A03030"/>
        </w:rPr>
        <w:t>auth_time</w:t>
      </w:r>
      <w:r>
        <w:rPr>
          <w:b w:val="0"/>
          <w:i w:val="0"/>
        </w:rPr>
        <w:t xml:space="preserve">, </w:t>
      </w:r>
      <w:r>
        <w:rPr>
          <w:rFonts w:ascii="Consolas" w:hAnsi="Consolas"/>
          <w:b w:val="0"/>
          <w:i w:val="0"/>
          <w:color w:val="A03030"/>
        </w:rPr>
        <w:t>amr</w:t>
      </w:r>
      <w:r>
        <w:rPr>
          <w:b w:val="0"/>
          <w:i w:val="0"/>
        </w:rPr>
        <w:t xml:space="preserve">, </w:t>
      </w:r>
      <w:r>
        <w:rPr>
          <w:rFonts w:ascii="Consolas" w:hAnsi="Consolas"/>
          <w:b w:val="0"/>
          <w:i w:val="0"/>
          <w:color w:val="A03030"/>
        </w:rPr>
        <w:t>acr</w:t>
      </w:r>
      <w:r>
        <w:rPr>
          <w:b w:val="0"/>
          <w:i w:val="0"/>
        </w:rPr>
        <w:t>.</w:t>
      </w:r>
    </w:p>
    <w:p>
      <w:pPr>
        <w:pStyle w:val="ListBullet"/>
      </w:pPr>
      <w:r>
        <w:rPr>
          <w:b/>
          <w:i w:val="0"/>
        </w:rPr>
        <w:t>Nunca debe usarse para acceder a recursos.</w:t>
      </w:r>
      <w:r>
        <w:rPr>
          <w:b w:val="0"/>
          <w:i w:val="0"/>
        </w:rPr>
        <w:t xml:space="preserve"> Ese es el trabajo del access token. Mezclarlos es un error clásico de implementación.</w:t>
      </w:r>
    </w:p>
    <w:p>
      <w:r>
        <w:rPr>
          <w:b w:val="0"/>
          <w:i/>
        </w:rPr>
        <w:t>Cita hablada sugerida:</w:t>
      </w:r>
      <w:r>
        <w:rPr>
          <w:b w:val="0"/>
          <w:i w:val="0"/>
        </w:rPr>
        <w:t xml:space="preserve"> "El ID token es el documento de identidad que te muestran en la puerta. El access token es el pase que te ponen en la muñeca para entrar al recinto. Si confundís los dos, vas a intentar entrar a los conciertos mostrando el DNI."</w:t>
      </w:r>
    </w:p>
    <w:p>
      <w:pPr>
        <w:pStyle w:val="Heading3"/>
      </w:pPr>
      <w:r>
        <w:t>El refresh token nunca va a la API de recursos</w:t>
      </w:r>
    </w:p>
    <w:p>
      <w:r>
        <w:rPr>
          <w:b w:val="0"/>
          <w:i w:val="0"/>
        </w:rPr>
        <w:t xml:space="preserve">Regla que conviene escribir en una slide enorme: </w:t>
      </w:r>
      <w:r>
        <w:rPr>
          <w:b/>
          <w:i w:val="0"/>
        </w:rPr>
        <w:t>el refresh token jamás viaja a la API de recursos; el access token jamás debería usarse para refrescar.</w:t>
      </w:r>
      <w:r>
        <w:rPr>
          <w:b w:val="0"/>
          <w:i w:val="0"/>
        </w:rPr>
        <w:t xml:space="preserve"> Son mundos distintos: recursos vs. emisión.</w:t>
      </w:r>
    </w:p>
    <w:p>
      <w:pPr>
        <w:pStyle w:val="Heading2"/>
      </w:pPr>
      <w:r>
        <w:t>2.2 Los tokens que no son OAuth: API keys</w:t>
      </w:r>
    </w:p>
    <w:p>
      <w:r>
        <w:rPr>
          <w:b w:val="0"/>
          <w:i w:val="0"/>
        </w:rPr>
        <w:t xml:space="preserve">Hasta acá todo es OAuth/OIDC. Pero la mayoría de las APIs del mundo no usan OAuth: usan </w:t>
      </w:r>
      <w:r>
        <w:rPr>
          <w:b/>
          <w:i w:val="0"/>
        </w:rPr>
        <w:t>API keys</w:t>
      </w:r>
      <w:r>
        <w:rPr>
          <w:b w:val="0"/>
          <w:i w:val="0"/>
        </w:rPr>
        <w:t>.</w:t>
      </w:r>
    </w:p>
    <w:p>
      <w:pPr>
        <w:pStyle w:val="ListBullet"/>
      </w:pPr>
      <w:r>
        <w:rPr>
          <w:b/>
          <w:i w:val="0"/>
        </w:rPr>
        <w:t>Primera aparición:</w:t>
      </w:r>
      <w:r>
        <w:rPr>
          <w:b w:val="0"/>
          <w:i w:val="0"/>
        </w:rPr>
        <w:t xml:space="preserve"> no hay un RFC. Es práctica de industria, popularizada a mediados de los 2000 con la computación en la nube —las </w:t>
      </w:r>
      <w:r>
        <w:rPr>
          <w:b w:val="0"/>
          <w:i/>
        </w:rPr>
        <w:t>access keys</w:t>
      </w:r>
      <w:r>
        <w:rPr>
          <w:b w:val="0"/>
          <w:i w:val="0"/>
        </w:rPr>
        <w:t xml:space="preserve"> de Amazon Web Services, disponibles desde el lanzamiento de AWS en 2006, son el arquetipo—, y masificada por proveedores como Stripe, Twilio y compañía.</w:t>
      </w:r>
    </w:p>
    <w:p>
      <w:pPr>
        <w:pStyle w:val="ListBullet"/>
      </w:pPr>
      <w:r>
        <w:rPr>
          <w:b/>
          <w:i w:val="0"/>
        </w:rPr>
        <w:t>Qué son:</w:t>
      </w:r>
      <w:r>
        <w:rPr>
          <w:b w:val="0"/>
          <w:i w:val="0"/>
        </w:rPr>
        <w:t xml:space="preserve"> un identificador estático, casi siempre un par </w:t>
      </w:r>
      <w:r>
        <w:rPr>
          <w:rFonts w:ascii="Consolas" w:hAnsi="Consolas"/>
          <w:b w:val="0"/>
          <w:i w:val="0"/>
          <w:color w:val="A03030"/>
        </w:rPr>
        <w:t>key_id</w:t>
      </w:r>
      <w:r>
        <w:rPr>
          <w:b w:val="0"/>
          <w:i w:val="0"/>
        </w:rPr>
        <w:t xml:space="preserve"> + </w:t>
      </w:r>
      <w:r>
        <w:rPr>
          <w:rFonts w:ascii="Consolas" w:hAnsi="Consolas"/>
          <w:b w:val="0"/>
          <w:i w:val="0"/>
          <w:color w:val="A03030"/>
        </w:rPr>
        <w:t>secret</w:t>
      </w:r>
      <w:r>
        <w:rPr>
          <w:b w:val="0"/>
          <w:i w:val="0"/>
        </w:rPr>
        <w:t xml:space="preserve">, emitido a un </w:t>
      </w:r>
      <w:r>
        <w:rPr>
          <w:b w:val="0"/>
          <w:i/>
        </w:rPr>
        <w:t>sistema</w:t>
      </w:r>
      <w:r>
        <w:rPr>
          <w:b w:val="0"/>
          <w:i w:val="0"/>
        </w:rPr>
        <w:t>, no a una persona.</w:t>
      </w:r>
    </w:p>
    <w:p>
      <w:pPr>
        <w:pStyle w:val="ListBullet"/>
      </w:pPr>
      <w:r>
        <w:rPr>
          <w:b/>
          <w:i w:val="0"/>
        </w:rPr>
        <w:t>Qué NO son:</w:t>
      </w:r>
      <w:r>
        <w:rPr>
          <w:b w:val="0"/>
          <w:i w:val="0"/>
        </w:rPr>
        <w:t xml:space="preserve"> no autentican a un usuario, no llevan </w:t>
      </w:r>
      <w:r>
        <w:rPr>
          <w:rFonts w:ascii="Consolas" w:hAnsi="Consolas"/>
          <w:b w:val="0"/>
          <w:i w:val="0"/>
          <w:color w:val="A03030"/>
        </w:rPr>
        <w:t>exp</w:t>
      </w:r>
      <w:r>
        <w:rPr>
          <w:b w:val="0"/>
          <w:i w:val="0"/>
        </w:rPr>
        <w:t xml:space="preserve"> por defecto, no llevan </w:t>
      </w:r>
      <w:r>
        <w:rPr>
          <w:rFonts w:ascii="Consolas" w:hAnsi="Consolas"/>
          <w:b w:val="0"/>
          <w:i w:val="0"/>
          <w:color w:val="A03030"/>
        </w:rPr>
        <w:t>scope</w:t>
      </w:r>
      <w:r>
        <w:rPr>
          <w:b w:val="0"/>
          <w:i w:val="0"/>
        </w:rPr>
        <w:t xml:space="preserve"> a menos que el proveedor lo implemente. </w:t>
      </w:r>
      <w:r>
        <w:rPr>
          <w:b/>
          <w:i w:val="0"/>
        </w:rPr>
        <w:t>Una API key es identificación, no autenticación.</w:t>
      </w:r>
    </w:p>
    <w:p>
      <w:pPr>
        <w:pStyle w:val="ListBullet"/>
      </w:pPr>
      <w:r>
        <w:rPr>
          <w:b/>
          <w:i w:val="0"/>
        </w:rPr>
        <w:t>Por qué importan en la charla:</w:t>
      </w:r>
      <w:r>
        <w:rPr>
          <w:b w:val="0"/>
          <w:i w:val="0"/>
        </w:rPr>
        <w:t xml:space="preserve"> porque son el bearer token más extendido y más ignorado. Se meten en código fuente, en apps móviles (donde son extraíbles), en variables de entorno, en frontends.</w:t>
      </w:r>
    </w:p>
    <w:p>
      <w:r>
        <w:rPr>
          <w:b/>
          <w:i w:val="0"/>
        </w:rPr>
        <w:t>Dato para citar en el Bloque 5:</w:t>
      </w:r>
      <w:r>
        <w:rPr>
          <w:b w:val="0"/>
          <w:i w:val="0"/>
        </w:rPr>
        <w:t xml:space="preserve"> GitGuardian detectó </w:t>
      </w:r>
      <w:r>
        <w:rPr>
          <w:b/>
          <w:i w:val="0"/>
        </w:rPr>
        <w:t>28,65 millones de secretos nuevos</w:t>
      </w:r>
      <w:r>
        <w:rPr>
          <w:b w:val="0"/>
          <w:i w:val="0"/>
        </w:rPr>
        <w:t xml:space="preserve"> en commits públicos de GitHub sólo en 2025 (un aumento del 34 % interanual), y sus datos indican que </w:t>
      </w:r>
      <w:r>
        <w:rPr>
          <w:b/>
          <w:i w:val="0"/>
        </w:rPr>
        <w:t>más del 60 % de los secretos que confirmó como válidos en 2022 seguían activos y explotables años después</w:t>
      </w:r>
      <w:r>
        <w:rPr>
          <w:b w:val="0"/>
          <w:i w:val="0"/>
        </w:rPr>
        <w:t xml:space="preserve"> (</w:t>
      </w:r>
      <w:hyperlink r:id="rId9">
        <w:r>
          <w:rPr>
            <w:color w:val="0563C1"/>
            <w:u w:val="single"/>
          </w:rPr>
          <w:t xml:space="preserve">State of Secrets Sprawl 2026</w:t>
        </w:r>
      </w:hyperlink>
      <w:r>
        <w:rPr>
          <w:b w:val="0"/>
          <w:i w:val="0"/>
        </w:rPr>
        <w:t>).</w:t>
      </w:r>
    </w:p>
    <w:p>
      <w:pPr>
        <w:pStyle w:val="Heading2"/>
      </w:pPr>
      <w:r>
        <w:t>2.3 Opaque vs. autocontenido: el dilema de la revocación</w:t>
      </w:r>
    </w:p>
    <w:p>
      <w:r>
        <w:rPr>
          <w:b w:val="0"/>
          <w:i w:val="0"/>
        </w:rPr>
        <w:t>El último eje de este bloque es la gran bifurcación técnica:</w:t>
      </w:r>
    </w:p>
    <w:p>
      <w:r>
        <w:rPr>
          <w:b/>
          <w:i w:val="0"/>
        </w:rPr>
        <w:t>Token opaco</w:t>
      </w:r>
      <w:r>
        <w:rPr>
          <w:b w:val="0"/>
          <w:i w:val="0"/>
        </w:rPr>
        <w:t xml:space="preserve"> — un string arbitrario que el servidor de recursos </w:t>
      </w:r>
      <w:r>
        <w:rPr>
          <w:b/>
          <w:i w:val="0"/>
        </w:rPr>
        <w:t>no puede leer</w:t>
      </w:r>
      <w:r>
        <w:rPr>
          <w:b w:val="0"/>
          <w:i w:val="0"/>
        </w:rPr>
        <w:t xml:space="preserve">. Para validarlo debe consultarlo: </w:t>
      </w:r>
      <w:r>
        <w:rPr>
          <w:b/>
          <w:i w:val="0"/>
        </w:rPr>
        <w:t>introspección, primera aparición: RFC 7662, octubre de 2015</w:t>
      </w:r>
      <w:r>
        <w:rPr>
          <w:b w:val="0"/>
          <w:i w:val="0"/>
        </w:rPr>
        <w:t>.</w:t>
      </w:r>
    </w:p>
    <w:p>
      <w:pPr>
        <w:pStyle w:val="ListBullet"/>
      </w:pPr>
      <w:r>
        <w:rPr>
          <w:b w:val="0"/>
          <w:i w:val="0"/>
        </w:rPr>
        <w:t>Ventaja: revocación inmediata, estado centralizado, fácil de entender.</w:t>
      </w:r>
    </w:p>
    <w:p>
      <w:pPr>
        <w:pStyle w:val="ListBullet"/>
      </w:pPr>
      <w:r>
        <w:rPr>
          <w:b w:val="0"/>
          <w:i w:val="0"/>
        </w:rPr>
        <w:t>Costo: cada petición implica una llamada de validación (o caché con política de expiración), y el servidor de recursos depende de red.</w:t>
      </w:r>
    </w:p>
    <w:p>
      <w:r>
        <w:rPr>
          <w:b/>
          <w:i w:val="0"/>
        </w:rPr>
        <w:t>Token autocontenido (JWT)</w:t>
      </w:r>
      <w:r>
        <w:rPr>
          <w:b w:val="0"/>
          <w:i w:val="0"/>
        </w:rPr>
        <w:t xml:space="preserve"> — el servidor de recursos </w:t>
      </w:r>
      <w:r>
        <w:rPr>
          <w:b/>
          <w:i w:val="0"/>
        </w:rPr>
        <w:t>lo verifica localmente</w:t>
      </w:r>
      <w:r>
        <w:rPr>
          <w:b w:val="0"/>
          <w:i w:val="0"/>
        </w:rPr>
        <w:t xml:space="preserve"> con la clave pública del emisor.</w:t>
      </w:r>
    </w:p>
    <w:p>
      <w:pPr>
        <w:pStyle w:val="ListBullet"/>
      </w:pPr>
      <w:r>
        <w:rPr>
          <w:b w:val="0"/>
          <w:i w:val="0"/>
        </w:rPr>
        <w:t>Ventaja: cero estado, cero ida y vuelta, escala magníficamente.</w:t>
      </w:r>
    </w:p>
    <w:p>
      <w:pPr>
        <w:pStyle w:val="ListBullet"/>
      </w:pPr>
      <w:r>
        <w:rPr>
          <w:b w:val="0"/>
          <w:i w:val="0"/>
        </w:rPr>
        <w:t xml:space="preserve">Costo: </w:t>
      </w:r>
      <w:r>
        <w:rPr>
          <w:b/>
          <w:i w:val="0"/>
        </w:rPr>
        <w:t>no se puede revocar antes de su expiración</w:t>
      </w:r>
      <w:r>
        <w:rPr>
          <w:b w:val="0"/>
          <w:i w:val="0"/>
        </w:rPr>
        <w:t xml:space="preserve"> sin mecanismos adicionales. Por eso la vida del access token en JWT debe ser corta, y por eso la rotación del refresh token importa tanto.</w:t>
      </w:r>
    </w:p>
    <w:p>
      <w:r>
        <w:rPr>
          <w:b/>
          <w:i w:val="0"/>
        </w:rPr>
        <w:t>La regla de oro que conviene escribir en una slide:</w:t>
      </w:r>
      <w:r>
        <w:rPr>
          <w:b w:val="0"/>
          <w:i w:val="0"/>
        </w:rPr>
        <w:t xml:space="preserve"> </w:t>
      </w:r>
      <w:r>
        <w:rPr>
          <w:b w:val="0"/>
          <w:i/>
        </w:rPr>
        <w:t>"No podés tener a la vez un JWT de larga vida y la capacidad de revocarlo. Elegí uno de los dos."</w:t>
      </w:r>
    </w:p>
    <w:p>
      <w:r>
        <w:rPr>
          <w:b w:val="0"/>
          <w:i/>
        </w:rPr>
        <w:t>Frase de cierre del bloque:</w:t>
      </w:r>
      <w:r>
        <w:rPr>
          <w:b w:val="0"/>
          <w:i w:val="0"/>
        </w:rPr>
        <w:t xml:space="preserve"> </w:t>
      </w:r>
      <w:r>
        <w:rPr>
          <w:b w:val="0"/>
          <w:i/>
        </w:rPr>
        <w:t>"Un token no es un monolito. Es una familia con roles distintos: el código entra, el access token opera, el refresh token renueva, el ID token identifica. La mayoría de las fallas que vamos a ver después nacen de confundir estos roles —o de darles vidas que no corresponden—."</w:t>
      </w:r>
    </w:p>
    <w:p>
      <w:r>
        <w:br w:type="page"/>
      </w:r>
    </w:p>
    <w:p>
      <w:pPr>
        <w:pStyle w:val="Heading1"/>
      </w:pPr>
      <w:r>
        <w:t>BLOQUE 3 — Anatomía: qué se valida realmente (≈8 min)</w:t>
      </w:r>
    </w:p>
    <w:p>
      <w:r>
        <w:rPr>
          <w:b w:val="0"/>
          <w:i/>
        </w:rPr>
        <w:t>Slide 5: un JWT anotado con tres colores (header, payload, firma).</w:t>
      </w:r>
    </w:p>
    <w:p>
      <w:pPr>
        <w:pStyle w:val="Heading2"/>
      </w:pPr>
      <w:r>
        <w:t>3.1 La anatomía de un JWT</w:t>
      </w:r>
    </w:p>
    <w:p>
      <w:r>
        <w:rPr>
          <w:b w:val="0"/>
          <w:i w:val="0"/>
        </w:rPr>
        <w:t xml:space="preserve">Un JWT es </w:t>
      </w:r>
      <w:r>
        <w:rPr>
          <w:rFonts w:ascii="Consolas" w:hAnsi="Consolas"/>
          <w:b w:val="0"/>
          <w:i w:val="0"/>
          <w:color w:val="A03030"/>
        </w:rPr>
        <w:t>header.payload.signature</w:t>
      </w:r>
      <w:r>
        <w:rPr>
          <w:b w:val="0"/>
          <w:i w:val="0"/>
        </w:rPr>
        <w:t xml:space="preserve">, tres partes separadas por puntos, cada una codificada en base64url. Esto hay que decirlo con cuidado porque hay un error común: </w:t>
      </w:r>
      <w:r>
        <w:rPr>
          <w:b/>
          <w:i w:val="0"/>
        </w:rPr>
        <w:t>base64 no es cifrado</w:t>
      </w:r>
      <w:r>
        <w:rPr>
          <w:b w:val="0"/>
          <w:i w:val="0"/>
        </w:rPr>
        <w:t>. Cualquiera puede leer el payload. Un JWT es como una credencial plastificada: está firmada, no sellada. Si necesitás confidencialidad, usás JWE —</w:t>
      </w:r>
      <w:r>
        <w:rPr>
          <w:b/>
          <w:i w:val="0"/>
        </w:rPr>
        <w:t>JSON Web Encryption, RFC 7516, mayo de 2015</w:t>
      </w:r>
      <w:r>
        <w:rPr>
          <w:b w:val="0"/>
          <w:i w:val="0"/>
        </w:rPr>
        <w:t>—, que es otra pieza de la familia JOSE (</w:t>
      </w:r>
      <w:r>
        <w:rPr>
          <w:b/>
          <w:i w:val="0"/>
        </w:rPr>
        <w:t>JWS, RFC 7515</w:t>
      </w:r>
      <w:r>
        <w:rPr>
          <w:b w:val="0"/>
          <w:i w:val="0"/>
        </w:rPr>
        <w:t xml:space="preserve">; </w:t>
      </w:r>
      <w:r>
        <w:rPr>
          <w:b/>
          <w:i w:val="0"/>
        </w:rPr>
        <w:t>JWK, RFC 7517</w:t>
      </w:r>
      <w:r>
        <w:rPr>
          <w:b w:val="0"/>
          <w:i w:val="0"/>
        </w:rPr>
        <w:t xml:space="preserve">; </w:t>
      </w:r>
      <w:r>
        <w:rPr>
          <w:b/>
          <w:i w:val="0"/>
        </w:rPr>
        <w:t>JWA, RFC 7518</w:t>
      </w:r>
      <w:r>
        <w:rPr>
          <w:b w:val="0"/>
          <w:i w:val="0"/>
        </w:rPr>
        <w:t xml:space="preserve">; todas mayo de 2015; y </w:t>
      </w:r>
      <w:r>
        <w:rPr>
          <w:b/>
          <w:i w:val="0"/>
        </w:rPr>
        <w:t>JWT, RFC 7519, mayo de 2015</w:t>
      </w:r>
      <w:r>
        <w:rPr>
          <w:b w:val="0"/>
          <w:i w:val="0"/>
        </w:rPr>
        <w:t>).</w:t>
      </w:r>
    </w:p>
    <w:p>
      <w:r>
        <w:rPr>
          <w:b/>
          <w:i w:val="0"/>
        </w:rPr>
        <w:t>Primera aparición de la familia:</w:t>
      </w:r>
      <w:r>
        <w:rPr>
          <w:b w:val="0"/>
          <w:i w:val="0"/>
        </w:rPr>
        <w:t xml:space="preserve"> el primer borrador de JSON Web Token se publicó el </w:t>
      </w:r>
      <w:r>
        <w:rPr>
          <w:b/>
          <w:i w:val="0"/>
        </w:rPr>
        <w:t>28 de diciembre de 2010</w:t>
      </w:r>
      <w:r>
        <w:rPr>
          <w:b w:val="0"/>
          <w:i w:val="0"/>
        </w:rPr>
        <w:t>, y la norma maduró cuatro años y medio hasta su RFC en mayo de 2015.</w:t>
      </w:r>
    </w:p>
    <w:p>
      <w:r>
        <w:rPr>
          <w:b w:val="0"/>
          <w:i w:val="0"/>
        </w:rPr>
        <w:t xml:space="preserve">El header lleva, como mínimo, </w:t>
      </w:r>
      <w:r>
        <w:rPr>
          <w:rFonts w:ascii="Consolas" w:hAnsi="Consolas"/>
          <w:b w:val="0"/>
          <w:i w:val="0"/>
          <w:color w:val="A03030"/>
        </w:rPr>
        <w:t>alg</w:t>
      </w:r>
      <w:r>
        <w:rPr>
          <w:b w:val="0"/>
          <w:i w:val="0"/>
        </w:rPr>
        <w:t xml:space="preserve"> —el algoritmo de firma—. Y ahí está el origen de una familia entera de ataques que veremos en el Bloque 5: </w:t>
      </w:r>
      <w:r>
        <w:rPr>
          <w:b/>
          <w:i w:val="0"/>
        </w:rPr>
        <w:t>si el receptor decide cómo verificar en función de lo que dice el token, un atacante puede elegir el algoritmo.</w:t>
      </w:r>
      <w:r>
        <w:rPr>
          <w:b w:val="0"/>
          <w:i w:val="0"/>
        </w:rPr>
        <w:t xml:space="preserve"> Por eso </w:t>
      </w:r>
      <w:r>
        <w:rPr>
          <w:b/>
          <w:i w:val="0"/>
        </w:rPr>
        <w:t>RFC 8725 ("JSON Web Token Best Current Practices", febrero de 2020)</w:t>
      </w:r>
      <w:r>
        <w:rPr>
          <w:b w:val="0"/>
          <w:i w:val="0"/>
        </w:rPr>
        <w:t xml:space="preserve"> y el </w:t>
      </w:r>
      <w:hyperlink r:id="rId10">
        <w:r>
          <w:rPr>
            <w:color w:val="0563C1"/>
            <w:u w:val="single"/>
          </w:rPr>
          <w:t xml:space="preserve">cheat sheet de JWT de OWASP</w:t>
        </w:r>
      </w:hyperlink>
      <w:r>
        <w:rPr>
          <w:b w:val="0"/>
          <w:i w:val="0"/>
        </w:rPr>
        <w:t xml:space="preserve"> insisten: </w:t>
      </w:r>
      <w:r>
        <w:rPr>
          <w:b/>
          <w:i w:val="0"/>
        </w:rPr>
        <w:t>el algoritmo debe venir de la configuración del validador, nunca del token.</w:t>
      </w:r>
    </w:p>
    <w:p>
      <w:pPr>
        <w:pStyle w:val="Heading2"/>
      </w:pPr>
      <w:r>
        <w:t>3.2 Los claims que importan (y por qué)</w:t>
      </w:r>
    </w:p>
    <w:p>
      <w:pPr>
        <w:pStyle w:val="ListBullet"/>
      </w:pPr>
      <w:r>
        <w:rPr>
          <w:b/>
          <w:i w:val="0"/>
        </w:rPr>
        <w:t>`iss` (issuer):</w:t>
      </w:r>
      <w:r>
        <w:rPr>
          <w:b w:val="0"/>
          <w:i w:val="0"/>
        </w:rPr>
        <w:t xml:space="preserve"> quién lo emitió. Debe validarse contra la lista de emisores confiables.</w:t>
      </w:r>
    </w:p>
    <w:p>
      <w:pPr>
        <w:pStyle w:val="ListBullet"/>
      </w:pPr>
      <w:r>
        <w:rPr>
          <w:b/>
          <w:i w:val="0"/>
        </w:rPr>
        <w:t>`aud` (audience):</w:t>
      </w:r>
      <w:r>
        <w:rPr>
          <w:b w:val="0"/>
          <w:i w:val="0"/>
        </w:rPr>
        <w:t xml:space="preserve"> para quién es. </w:t>
      </w:r>
      <w:r>
        <w:rPr>
          <w:b/>
          <w:i w:val="0"/>
        </w:rPr>
        <w:t>Éste es el claim que responde a la pregunta del RFC 6749 §10.3</w:t>
      </w:r>
      <w:r>
        <w:rPr>
          <w:b w:val="0"/>
          <w:i w:val="0"/>
        </w:rPr>
        <w:t xml:space="preserve">: si validás </w:t>
      </w:r>
      <w:r>
        <w:rPr>
          <w:rFonts w:ascii="Consolas" w:hAnsi="Consolas"/>
          <w:b w:val="0"/>
          <w:i w:val="0"/>
          <w:color w:val="A03030"/>
        </w:rPr>
        <w:t>aud</w:t>
      </w:r>
      <w:r>
        <w:rPr>
          <w:b w:val="0"/>
          <w:i w:val="0"/>
        </w:rPr>
        <w:t xml:space="preserve"> estrictamente, un token robado emitido para otra aplicación no te sirve.</w:t>
      </w:r>
    </w:p>
    <w:p>
      <w:pPr>
        <w:pStyle w:val="ListBullet"/>
      </w:pPr>
      <w:r>
        <w:rPr>
          <w:b/>
          <w:i w:val="0"/>
        </w:rPr>
        <w:t>`exp` / `nbf` / `iat`:</w:t>
      </w:r>
      <w:r>
        <w:rPr>
          <w:b w:val="0"/>
          <w:i w:val="0"/>
        </w:rPr>
        <w:t xml:space="preserve"> expiración, "not before", emisión. </w:t>
      </w:r>
      <w:r>
        <w:rPr>
          <w:b/>
          <w:i w:val="0"/>
        </w:rPr>
        <w:t>`exp` es obligatorio en access tokens según RFC 9068 (mayo de 2021)</w:t>
      </w:r>
      <w:r>
        <w:rPr>
          <w:b w:val="0"/>
          <w:i w:val="0"/>
        </w:rPr>
        <w:t>.</w:t>
      </w:r>
    </w:p>
    <w:p>
      <w:pPr>
        <w:pStyle w:val="ListBullet"/>
      </w:pPr>
      <w:r>
        <w:rPr>
          <w:b/>
          <w:i w:val="0"/>
        </w:rPr>
        <w:t>`sub` (subject):</w:t>
      </w:r>
      <w:r>
        <w:rPr>
          <w:b w:val="0"/>
          <w:i w:val="0"/>
        </w:rPr>
        <w:t xml:space="preserve"> a quién representa.</w:t>
      </w:r>
    </w:p>
    <w:p>
      <w:pPr>
        <w:pStyle w:val="ListBullet"/>
      </w:pPr>
      <w:r>
        <w:rPr>
          <w:b/>
          <w:i w:val="0"/>
        </w:rPr>
        <w:t>`scope` o `scp`:</w:t>
      </w:r>
      <w:r>
        <w:rPr>
          <w:b w:val="0"/>
          <w:i w:val="0"/>
        </w:rPr>
        <w:t xml:space="preserve"> qué puede hacer. Mínimo privilegio.</w:t>
      </w:r>
    </w:p>
    <w:p>
      <w:pPr>
        <w:pStyle w:val="ListBullet"/>
      </w:pPr>
      <w:r>
        <w:rPr>
          <w:b/>
          <w:i w:val="0"/>
        </w:rPr>
        <w:t>`jti` (JWT ID):</w:t>
      </w:r>
      <w:r>
        <w:rPr>
          <w:b w:val="0"/>
          <w:i w:val="0"/>
        </w:rPr>
        <w:t xml:space="preserve"> identificador único, para anti-replay y revocación por lista.</w:t>
      </w:r>
    </w:p>
    <w:p>
      <w:pPr>
        <w:pStyle w:val="ListBullet"/>
      </w:pPr>
      <w:r>
        <w:rPr>
          <w:b/>
          <w:i w:val="0"/>
        </w:rPr>
        <w:t>`amr` (Authentication Methods References):</w:t>
      </w:r>
      <w:r>
        <w:rPr>
          <w:b w:val="0"/>
          <w:i w:val="0"/>
        </w:rPr>
        <w:t xml:space="preserve"> </w:t>
      </w:r>
      <w:r>
        <w:rPr>
          <w:b w:val="0"/>
          <w:i/>
        </w:rPr>
        <w:t>cómo se autenticó</w:t>
      </w:r>
      <w:r>
        <w:rPr>
          <w:b w:val="0"/>
          <w:i w:val="0"/>
        </w:rPr>
        <w:t xml:space="preserve"> — "pwd", "mfa", "otp", "hwk". </w:t>
      </w:r>
      <w:r>
        <w:rPr>
          <w:b/>
          <w:i w:val="0"/>
        </w:rPr>
        <w:t>Primera aparición: RFC 8176, agosto de 2017.</w:t>
      </w:r>
      <w:r>
        <w:rPr>
          <w:b w:val="0"/>
          <w:i w:val="0"/>
        </w:rPr>
        <w:t xml:space="preserve"> Este claim es la bisagra de todo el Bloque 4: es el puente entre "pasó la MFA" y "el token lo sabe".</w:t>
      </w:r>
    </w:p>
    <w:p>
      <w:pPr>
        <w:pStyle w:val="ListBullet"/>
      </w:pPr>
      <w:r>
        <w:rPr>
          <w:b/>
          <w:i w:val="0"/>
        </w:rPr>
        <w:t>`acr` (Authentication Context Class Reference):</w:t>
      </w:r>
      <w:r>
        <w:rPr>
          <w:b w:val="0"/>
          <w:i w:val="0"/>
        </w:rPr>
        <w:t xml:space="preserve"> </w:t>
      </w:r>
      <w:r>
        <w:rPr>
          <w:b w:val="0"/>
          <w:i/>
        </w:rPr>
        <w:t>a qué nivel de garantía</w:t>
      </w:r>
      <w:r>
        <w:rPr>
          <w:b w:val="0"/>
          <w:i w:val="0"/>
        </w:rPr>
        <w:t xml:space="preserve"> se autenticó. Es la base del step-up authentication.</w:t>
      </w:r>
    </w:p>
    <w:p>
      <w:pPr>
        <w:pStyle w:val="ListBullet"/>
      </w:pPr>
      <w:r>
        <w:rPr>
          <w:b/>
          <w:i w:val="0"/>
        </w:rPr>
        <w:t>`kid` (Key ID):</w:t>
      </w:r>
      <w:r>
        <w:rPr>
          <w:b w:val="0"/>
          <w:i w:val="0"/>
        </w:rPr>
        <w:t xml:space="preserve"> qué clave usó el firmante, en el header.</w:t>
      </w:r>
    </w:p>
    <w:p>
      <w:r>
        <w:rPr>
          <w:b w:val="0"/>
          <w:i/>
        </w:rPr>
        <w:t>Frase hablada:</w:t>
      </w:r>
      <w:r>
        <w:rPr>
          <w:b w:val="0"/>
          <w:i w:val="0"/>
        </w:rPr>
        <w:t xml:space="preserve"> "Un JWT bien validado responde cuatro preguntas: ¿quién lo emitió?, ¿es para mí?, ¿está vigente?, ¿tiene permiso? Un JWT mal validado sólo responde una: ¿está firmado?"</w:t>
      </w:r>
    </w:p>
    <w:p>
      <w:pPr>
        <w:pStyle w:val="Heading2"/>
      </w:pPr>
      <w:r>
        <w:t>3.3 La checklist mínima de validación</w:t>
      </w:r>
    </w:p>
    <w:p>
      <w:r>
        <w:rPr>
          <w:b w:val="0"/>
          <w:i/>
        </w:rPr>
        <w:t>Slide sugerida: checklist de 8 puntos.</w:t>
      </w:r>
    </w:p>
    <w:p>
      <w:r>
        <w:rPr>
          <w:b w:val="0"/>
          <w:i w:val="0"/>
        </w:rPr>
        <w:t xml:space="preserve">1. Verificar la firma con la clave pública del emisor — </w:t>
      </w:r>
      <w:r>
        <w:rPr>
          <w:b/>
          <w:i w:val="0"/>
        </w:rPr>
        <w:t>jamás con una clave que venga del propio token</w:t>
      </w:r>
      <w:r>
        <w:rPr>
          <w:b w:val="0"/>
          <w:i w:val="0"/>
        </w:rPr>
        <w:t>.</w:t>
      </w:r>
    </w:p>
    <w:p>
      <w:r>
        <w:rPr>
          <w:b w:val="0"/>
          <w:i w:val="0"/>
        </w:rPr>
        <w:t xml:space="preserve">2. Verificar </w:t>
      </w:r>
      <w:r>
        <w:rPr>
          <w:rFonts w:ascii="Consolas" w:hAnsi="Consolas"/>
          <w:b w:val="0"/>
          <w:i w:val="0"/>
          <w:color w:val="A03030"/>
        </w:rPr>
        <w:t>alg</w:t>
      </w:r>
      <w:r>
        <w:rPr>
          <w:b w:val="0"/>
          <w:i w:val="0"/>
        </w:rPr>
        <w:t xml:space="preserve"> contra la configuración esperada (rechazar </w:t>
      </w:r>
      <w:r>
        <w:rPr>
          <w:rFonts w:ascii="Consolas" w:hAnsi="Consolas"/>
          <w:b w:val="0"/>
          <w:i w:val="0"/>
          <w:color w:val="A03030"/>
        </w:rPr>
        <w:t>none</w:t>
      </w:r>
      <w:r>
        <w:rPr>
          <w:b w:val="0"/>
          <w:i w:val="0"/>
        </w:rPr>
        <w:t>; no mezclar HS/RS).</w:t>
      </w:r>
    </w:p>
    <w:p>
      <w:r>
        <w:rPr>
          <w:b w:val="0"/>
          <w:i w:val="0"/>
        </w:rPr>
        <w:t xml:space="preserve">3. Verificar </w:t>
      </w:r>
      <w:r>
        <w:rPr>
          <w:rFonts w:ascii="Consolas" w:hAnsi="Consolas"/>
          <w:b w:val="0"/>
          <w:i w:val="0"/>
          <w:color w:val="A03030"/>
        </w:rPr>
        <w:t>iss</w:t>
      </w:r>
      <w:r>
        <w:rPr>
          <w:b w:val="0"/>
          <w:i w:val="0"/>
        </w:rPr>
        <w:t xml:space="preserve"> contra la lista confiable.</w:t>
      </w:r>
    </w:p>
    <w:p>
      <w:r>
        <w:rPr>
          <w:b w:val="0"/>
          <w:i w:val="0"/>
        </w:rPr>
        <w:t xml:space="preserve">4. Verificar </w:t>
      </w:r>
      <w:r>
        <w:rPr>
          <w:rFonts w:ascii="Consolas" w:hAnsi="Consolas"/>
          <w:b w:val="0"/>
          <w:i w:val="0"/>
          <w:color w:val="A03030"/>
        </w:rPr>
        <w:t>aud</w:t>
      </w:r>
      <w:r>
        <w:rPr>
          <w:b w:val="0"/>
          <w:i w:val="0"/>
        </w:rPr>
        <w:t xml:space="preserve"> estrictamente.</w:t>
      </w:r>
    </w:p>
    <w:p>
      <w:r>
        <w:rPr>
          <w:b w:val="0"/>
          <w:i w:val="0"/>
        </w:rPr>
        <w:t xml:space="preserve">5. Verificar </w:t>
      </w:r>
      <w:r>
        <w:rPr>
          <w:rFonts w:ascii="Consolas" w:hAnsi="Consolas"/>
          <w:b w:val="0"/>
          <w:i w:val="0"/>
          <w:color w:val="A03030"/>
        </w:rPr>
        <w:t>exp</w:t>
      </w:r>
      <w:r>
        <w:rPr>
          <w:b w:val="0"/>
          <w:i w:val="0"/>
        </w:rPr>
        <w:t xml:space="preserve"> y </w:t>
      </w:r>
      <w:r>
        <w:rPr>
          <w:rFonts w:ascii="Consolas" w:hAnsi="Consolas"/>
          <w:b w:val="0"/>
          <w:i w:val="0"/>
          <w:color w:val="A03030"/>
        </w:rPr>
        <w:t>nbf</w:t>
      </w:r>
      <w:r>
        <w:rPr>
          <w:b w:val="0"/>
          <w:i w:val="0"/>
        </w:rPr>
        <w:t xml:space="preserve"> con tolerancia de reloj explícita (pocos segundos, no minutos).</w:t>
      </w:r>
    </w:p>
    <w:p>
      <w:r>
        <w:rPr>
          <w:b w:val="0"/>
          <w:i w:val="0"/>
        </w:rPr>
        <w:t xml:space="preserve">6. Verificar </w:t>
      </w:r>
      <w:r>
        <w:rPr>
          <w:rFonts w:ascii="Consolas" w:hAnsi="Consolas"/>
          <w:b w:val="0"/>
          <w:i w:val="0"/>
          <w:color w:val="A03030"/>
        </w:rPr>
        <w:t>scope</w:t>
      </w:r>
      <w:r>
        <w:rPr>
          <w:b w:val="0"/>
          <w:i w:val="0"/>
        </w:rPr>
        <w:t>/</w:t>
      </w:r>
      <w:r>
        <w:rPr>
          <w:rFonts w:ascii="Consolas" w:hAnsi="Consolas"/>
          <w:b w:val="0"/>
          <w:i w:val="0"/>
          <w:color w:val="A03030"/>
        </w:rPr>
        <w:t>scp</w:t>
      </w:r>
      <w:r>
        <w:rPr>
          <w:b w:val="0"/>
          <w:i w:val="0"/>
        </w:rPr>
        <w:t xml:space="preserve"> requerido para el endpoint.</w:t>
      </w:r>
    </w:p>
    <w:p>
      <w:r>
        <w:rPr>
          <w:b w:val="0"/>
          <w:i w:val="0"/>
        </w:rPr>
        <w:t>7. Verificar restricciones de emisor del cliente, si aplica (</w:t>
      </w:r>
      <w:r>
        <w:rPr>
          <w:rFonts w:ascii="Consolas" w:hAnsi="Consolas"/>
          <w:b w:val="0"/>
          <w:i w:val="0"/>
          <w:color w:val="A03030"/>
        </w:rPr>
        <w:t>azp</w:t>
      </w:r>
      <w:r>
        <w:rPr>
          <w:b w:val="0"/>
          <w:i w:val="0"/>
        </w:rPr>
        <w:t>).</w:t>
      </w:r>
    </w:p>
    <w:p>
      <w:r>
        <w:rPr>
          <w:b w:val="0"/>
          <w:i w:val="0"/>
        </w:rPr>
        <w:t xml:space="preserve">8. Luego —y sólo luego— </w:t>
      </w:r>
      <w:r>
        <w:rPr>
          <w:b/>
          <w:i w:val="0"/>
        </w:rPr>
        <w:t>autorizar a nivel de objeto</w:t>
      </w:r>
      <w:r>
        <w:rPr>
          <w:b w:val="0"/>
          <w:i w:val="0"/>
        </w:rPr>
        <w:t xml:space="preserve"> (aquí entra el BOLA del Bloque 5).</w:t>
      </w:r>
    </w:p>
    <w:p>
      <w:r>
        <w:rPr>
          <w:b/>
          <w:i w:val="0"/>
        </w:rPr>
        <w:t>La lista va en ese orden a propósito:</w:t>
      </w:r>
      <w:r>
        <w:rPr>
          <w:b w:val="0"/>
          <w:i w:val="0"/>
        </w:rPr>
        <w:t xml:space="preserve"> los puntos 1–7 son </w:t>
      </w:r>
      <w:r>
        <w:rPr>
          <w:b w:val="0"/>
          <w:i/>
        </w:rPr>
        <w:t>autenticación e integridad del token</w:t>
      </w:r>
      <w:r>
        <w:rPr>
          <w:b w:val="0"/>
          <w:i w:val="0"/>
        </w:rPr>
        <w:t xml:space="preserve">; el punto 8 es </w:t>
      </w:r>
      <w:r>
        <w:rPr>
          <w:b w:val="0"/>
          <w:i/>
        </w:rPr>
        <w:t>autorización</w:t>
      </w:r>
      <w:r>
        <w:rPr>
          <w:b w:val="0"/>
          <w:i w:val="0"/>
        </w:rPr>
        <w:t>. Confundirlos es el error más común de la disciplina.</w:t>
      </w:r>
    </w:p>
    <w:p>
      <w:pPr>
        <w:pStyle w:val="Heading2"/>
      </w:pPr>
      <w:r>
        <w:t>3.4 Dónde se transporta el token (y dónde no)</w:t>
      </w:r>
    </w:p>
    <w:p>
      <w:r>
        <w:rPr>
          <w:b/>
          <w:i w:val="0"/>
        </w:rPr>
        <w:t>RFC 6750, octubre de 2012</w:t>
      </w:r>
      <w:r>
        <w:rPr>
          <w:b w:val="0"/>
          <w:i w:val="0"/>
        </w:rPr>
        <w:t xml:space="preserve">, define </w:t>
      </w:r>
      <w:r>
        <w:rPr>
          <w:b/>
          <w:i w:val="0"/>
        </w:rPr>
        <w:t>tres</w:t>
      </w:r>
      <w:r>
        <w:rPr>
          <w:b w:val="0"/>
          <w:i w:val="0"/>
        </w:rPr>
        <w:t xml:space="preserve"> transportes: cabecera </w:t>
      </w:r>
      <w:r>
        <w:rPr>
          <w:rFonts w:ascii="Consolas" w:hAnsi="Consolas"/>
          <w:b w:val="0"/>
          <w:i w:val="0"/>
          <w:color w:val="A03030"/>
        </w:rPr>
        <w:t>Authorization: Bearer</w:t>
      </w:r>
      <w:r>
        <w:rPr>
          <w:b w:val="0"/>
          <w:i w:val="0"/>
        </w:rPr>
        <w:t xml:space="preserve"> (§2.1), cuerpo </w:t>
      </w:r>
      <w:r>
        <w:rPr>
          <w:rFonts w:ascii="Consolas" w:hAnsi="Consolas"/>
          <w:b w:val="0"/>
          <w:i w:val="0"/>
          <w:color w:val="A03030"/>
        </w:rPr>
        <w:t>form-encoded</w:t>
      </w:r>
      <w:r>
        <w:rPr>
          <w:b w:val="0"/>
          <w:i w:val="0"/>
        </w:rPr>
        <w:t xml:space="preserve"> (§2.2) y </w:t>
      </w:r>
      <w:r>
        <w:rPr>
          <w:b/>
          <w:i w:val="0"/>
        </w:rPr>
        <w:t>query parameter</w:t>
      </w:r>
      <w:r>
        <w:rPr>
          <w:b w:val="0"/>
          <w:i w:val="0"/>
        </w:rPr>
        <w:t xml:space="preserve"> (§2.3). Los tres están permitidos por la norma de 2012.</w:t>
      </w:r>
    </w:p>
    <w:p>
      <w:r>
        <w:rPr>
          <w:b w:val="0"/>
          <w:i w:val="0"/>
        </w:rPr>
        <w:t xml:space="preserve">Y acá viene el contraste temporal más bonito de la charla: </w:t>
      </w:r>
      <w:r>
        <w:rPr>
          <w:b/>
          <w:i w:val="0"/>
        </w:rPr>
        <w:t>RFC 9700, "Best Current Practice for OAuth 2.0 Security", enero de 2025 —que reemplazó a RFC 6819 (2013) como documento de mejores prácticas— prohíbe expresamente transportar access tokens en URIs.</w:t>
      </w:r>
      <w:r>
        <w:rPr>
          <w:b w:val="0"/>
          <w:i w:val="0"/>
        </w:rPr>
        <w:t xml:space="preserve"> Trece años separan la permisión y la prohibición, porque trece años de logs, de cadenas </w:t>
      </w:r>
      <w:r>
        <w:rPr>
          <w:rFonts w:ascii="Consolas" w:hAnsi="Consolas"/>
          <w:b w:val="0"/>
          <w:i w:val="0"/>
          <w:color w:val="A03030"/>
        </w:rPr>
        <w:t>Referer</w:t>
      </w:r>
      <w:r>
        <w:rPr>
          <w:b w:val="0"/>
          <w:i w:val="0"/>
        </w:rPr>
        <w:t>, de historiales de navegador y de CDN nos enseñaron dónde terminan los tokens que van en URLs.</w:t>
      </w:r>
    </w:p>
    <w:p>
      <w:r>
        <w:rPr>
          <w:b w:val="0"/>
          <w:i w:val="0"/>
        </w:rPr>
        <w:t>También conviene repasar el dilema cabecera vs. cookie:</w:t>
      </w:r>
    </w:p>
    <w:p>
      <w:pPr>
        <w:pStyle w:val="ListBullet"/>
      </w:pPr>
      <w:r>
        <w:rPr>
          <w:b/>
          <w:i w:val="0"/>
        </w:rPr>
        <w:t>Cabecera:</w:t>
      </w:r>
      <w:r>
        <w:rPr>
          <w:b w:val="0"/>
          <w:i w:val="0"/>
        </w:rPr>
        <w:t xml:space="preserve"> no la manda el navegador automáticamente → inmune a CSRF por diseño, pero el cliente debe guardarla (y guardarla en </w:t>
      </w:r>
      <w:r>
        <w:rPr>
          <w:rFonts w:ascii="Consolas" w:hAnsi="Consolas"/>
          <w:b w:val="0"/>
          <w:i w:val="0"/>
          <w:color w:val="A03030"/>
        </w:rPr>
        <w:t>localStorage</w:t>
      </w:r>
      <w:r>
        <w:rPr>
          <w:b w:val="0"/>
          <w:i w:val="0"/>
        </w:rPr>
        <w:t xml:space="preserve"> la expone a XSS).</w:t>
      </w:r>
    </w:p>
    <w:p>
      <w:pPr>
        <w:pStyle w:val="ListBullet"/>
      </w:pPr>
      <w:r>
        <w:rPr>
          <w:b/>
          <w:i w:val="0"/>
        </w:rPr>
        <w:t>Cookie `HttpOnly` + `Secure` + `SameSite`:</w:t>
      </w:r>
      <w:r>
        <w:rPr>
          <w:b w:val="0"/>
          <w:i w:val="0"/>
        </w:rPr>
        <w:t xml:space="preserve"> inmune a XSS para la lectura, pero requiere mitigar CSRF, y aplica a contexto de navegador, no a API de cliente nativo o servidor a servidor.</w:t>
      </w:r>
    </w:p>
    <w:p>
      <w:r>
        <w:rPr>
          <w:b w:val="0"/>
          <w:i/>
        </w:rPr>
        <w:t>Frase de cierre del bloque:</w:t>
      </w:r>
      <w:r>
        <w:rPr>
          <w:b w:val="0"/>
          <w:i w:val="0"/>
        </w:rPr>
        <w:t xml:space="preserve"> </w:t>
      </w:r>
      <w:r>
        <w:rPr>
          <w:b w:val="0"/>
          <w:i/>
        </w:rPr>
        <w:t>"Validar un token es fácil si sabés qué preguntas hacer. El problema es que muchas implementaciones se quedan en la primera pregunta —¿está firmado?— y contestan 'sí' a todo lo demás."</w:t>
      </w:r>
    </w:p>
    <w:p>
      <w:r>
        <w:br w:type="page"/>
      </w:r>
    </w:p>
    <w:p>
      <w:pPr>
        <w:pStyle w:val="Heading1"/>
      </w:pPr>
      <w:r>
        <w:t>BLOQUE 4 — MFA en APIs: cuando la invoca una persona y cuando la invoca un sistema (≈14 min)</w:t>
      </w:r>
    </w:p>
    <w:p>
      <w:r>
        <w:rPr>
          <w:b w:val="0"/>
          <w:i/>
        </w:rPr>
        <w:t>Este es el bloque central de la charla. No se recorta en la versión de 30 minutos.</w:t>
      </w:r>
    </w:p>
    <w:p>
      <w:pPr>
        <w:pStyle w:val="Heading2"/>
      </w:pPr>
      <w:r>
        <w:t>4.1 La tesis: la MFA no está en la API</w:t>
      </w:r>
    </w:p>
    <w:p>
      <w:r>
        <w:rPr>
          <w:b w:val="0"/>
          <w:i w:val="0"/>
        </w:rPr>
        <w:t>Quiero arrancar este bloque con la idea que justifica el título completo de la charla:</w:t>
      </w:r>
    </w:p>
    <w:p>
      <w:r>
        <w:rPr>
          <w:b/>
          <w:i w:val="0"/>
        </w:rPr>
        <w:t>La autenticación multifactor no ocurre en la API. Ocurre en el momento de la emisión. Después de la MFA, todo lo que la API recibe es un string.</w:t>
      </w:r>
    </w:p>
    <w:p>
      <w:r>
        <w:rPr>
          <w:b w:val="0"/>
          <w:i w:val="0"/>
        </w:rPr>
        <w:t xml:space="preserve">El flujo real de una persona es: contraseña → MFA en el servidor de autenticación → se emiten tokens → la API recibe el access token. En ese punto, la API </w:t>
      </w:r>
      <w:r>
        <w:rPr>
          <w:b/>
          <w:i w:val="0"/>
        </w:rPr>
        <w:t>no sabe, y no puede saber</w:t>
      </w:r>
      <w:r>
        <w:rPr>
          <w:b w:val="0"/>
          <w:i w:val="0"/>
        </w:rPr>
        <w:t>, si la MFA ocurrió. Sólo lo sabe si se lo dicen los claims —</w:t>
      </w:r>
      <w:r>
        <w:rPr>
          <w:rFonts w:ascii="Consolas" w:hAnsi="Consolas"/>
          <w:b w:val="0"/>
          <w:i w:val="0"/>
          <w:color w:val="A03030"/>
        </w:rPr>
        <w:t>amr</w:t>
      </w:r>
      <w:r>
        <w:rPr>
          <w:b w:val="0"/>
          <w:i w:val="0"/>
        </w:rPr>
        <w:t xml:space="preserve">, </w:t>
      </w:r>
      <w:r>
        <w:rPr>
          <w:rFonts w:ascii="Consolas" w:hAnsi="Consolas"/>
          <w:b w:val="0"/>
          <w:i w:val="0"/>
          <w:color w:val="A03030"/>
        </w:rPr>
        <w:t>acr</w:t>
      </w:r>
      <w:r>
        <w:rPr>
          <w:b w:val="0"/>
          <w:i w:val="0"/>
        </w:rPr>
        <w:t xml:space="preserve">, </w:t>
      </w:r>
      <w:r>
        <w:rPr>
          <w:rFonts w:ascii="Consolas" w:hAnsi="Consolas"/>
          <w:b w:val="0"/>
          <w:i w:val="0"/>
          <w:color w:val="A03030"/>
        </w:rPr>
        <w:t>auth_time</w:t>
      </w:r>
      <w:r>
        <w:rPr>
          <w:b w:val="0"/>
          <w:i w:val="0"/>
        </w:rPr>
        <w:t>—, y sólo si el emisor los puso ahí y el validador los revisa.</w:t>
      </w:r>
    </w:p>
    <w:p>
      <w:r>
        <w:rPr>
          <w:b/>
          <w:i w:val="0"/>
        </w:rPr>
        <w:t>Consecuencia práctica:</w:t>
      </w:r>
      <w:r>
        <w:rPr>
          <w:b w:val="0"/>
          <w:i w:val="0"/>
        </w:rPr>
        <w:t xml:space="preserve"> la MFA protege la </w:t>
      </w:r>
      <w:r>
        <w:rPr>
          <w:b w:val="0"/>
          <w:i/>
        </w:rPr>
        <w:t>generación</w:t>
      </w:r>
      <w:r>
        <w:rPr>
          <w:b w:val="0"/>
          <w:i w:val="0"/>
        </w:rPr>
        <w:t xml:space="preserve"> del artefacto. No protege la </w:t>
      </w:r>
      <w:r>
        <w:rPr>
          <w:b w:val="0"/>
          <w:i/>
        </w:rPr>
        <w:t>posesión posterior</w:t>
      </w:r>
      <w:r>
        <w:rPr>
          <w:b w:val="0"/>
          <w:i w:val="0"/>
        </w:rPr>
        <w:t xml:space="preserve"> del artefacto. Todo el bloque 4 gira alrededor de esa frase.</w:t>
      </w:r>
    </w:p>
    <w:p>
      <w:r>
        <w:rPr>
          <w:b w:val="0"/>
          <w:i/>
        </w:rPr>
        <w:t>Slide sugerida: timeline horizontal: [Password] → [MFA] → [Emisión de token] → [30 días de vida del token] → [API]. Resaltar que la MFA cubre un instante y el token cubre semanas.</w:t>
      </w:r>
    </w:p>
    <w:p>
      <w:pPr>
        <w:pStyle w:val="Heading2"/>
      </w:pPr>
      <w:r>
        <w:t>4.2 Caso A: la API la invoca una persona</w:t>
      </w:r>
    </w:p>
    <w:p>
      <w:pPr>
        <w:pStyle w:val="Heading3"/>
      </w:pPr>
      <w:r>
        <w:t>4.2.1 El marco normativo</w:t>
      </w:r>
    </w:p>
    <w:p>
      <w:pPr>
        <w:pStyle w:val="ListBullet"/>
      </w:pPr>
      <w:r>
        <w:rPr>
          <w:b/>
          <w:i w:val="0"/>
        </w:rPr>
        <w:t>OpenID Connect Core 1.0</w:t>
      </w:r>
      <w:r>
        <w:rPr>
          <w:b w:val="0"/>
          <w:i w:val="0"/>
        </w:rPr>
        <w:t xml:space="preserve"> (final aprobado el </w:t>
      </w:r>
      <w:r>
        <w:rPr>
          <w:b/>
          <w:i w:val="0"/>
        </w:rPr>
        <w:t>26 de febrero de 2014</w:t>
      </w:r>
      <w:r>
        <w:rPr>
          <w:b w:val="0"/>
          <w:i w:val="0"/>
        </w:rPr>
        <w:t xml:space="preserve">) es el protocolo que, sobre OAuth 2.0, convierte "el usuario pasó la MFA" en "aquí tenés un ID token con </w:t>
      </w:r>
      <w:r>
        <w:rPr>
          <w:rFonts w:ascii="Consolas" w:hAnsi="Consolas"/>
          <w:b w:val="0"/>
          <w:i w:val="0"/>
          <w:color w:val="A03030"/>
        </w:rPr>
        <w:t>auth_time</w:t>
      </w:r>
      <w:r>
        <w:rPr>
          <w:b w:val="0"/>
          <w:i w:val="0"/>
        </w:rPr>
        <w:t xml:space="preserve"> y </w:t>
      </w:r>
      <w:r>
        <w:rPr>
          <w:rFonts w:ascii="Consolas" w:hAnsi="Consolas"/>
          <w:b w:val="0"/>
          <w:i w:val="0"/>
          <w:color w:val="A03030"/>
        </w:rPr>
        <w:t>acr</w:t>
      </w:r>
      <w:r>
        <w:rPr>
          <w:b w:val="0"/>
          <w:i w:val="0"/>
        </w:rPr>
        <w:t>".</w:t>
      </w:r>
    </w:p>
    <w:p>
      <w:pPr>
        <w:pStyle w:val="ListBullet"/>
      </w:pPr>
      <w:r>
        <w:rPr>
          <w:b/>
          <w:i w:val="0"/>
        </w:rPr>
        <w:t>NIST SP 800-63, "Digital Identity Guidelines"</w:t>
      </w:r>
      <w:r>
        <w:rPr>
          <w:b w:val="0"/>
          <w:i w:val="0"/>
        </w:rPr>
        <w:t xml:space="preserve">, en su primera edición desde </w:t>
      </w:r>
      <w:r>
        <w:rPr>
          <w:b/>
          <w:i w:val="0"/>
        </w:rPr>
        <w:t>2011</w:t>
      </w:r>
      <w:r>
        <w:rPr>
          <w:b w:val="0"/>
          <w:i w:val="0"/>
        </w:rPr>
        <w:t xml:space="preserve"> (800-63-1), define el marco de niveles de garantía. La versión </w:t>
      </w:r>
      <w:r>
        <w:rPr>
          <w:b/>
          <w:i w:val="0"/>
        </w:rPr>
        <w:t>800-63-3 (junio de 2017)</w:t>
      </w:r>
      <w:r>
        <w:rPr>
          <w:b w:val="0"/>
          <w:i w:val="0"/>
        </w:rPr>
        <w:t xml:space="preserve"> introdujo los </w:t>
      </w:r>
      <w:r>
        <w:rPr>
          <w:b/>
          <w:i w:val="0"/>
        </w:rPr>
        <w:t>AAL (Authenticator Assurance Levels)</w:t>
      </w:r>
      <w:r>
        <w:rPr>
          <w:b w:val="0"/>
          <w:i w:val="0"/>
        </w:rPr>
        <w:t xml:space="preserve">: AAL1, AAL2 y AAL3. </w:t>
      </w:r>
      <w:r>
        <w:rPr>
          <w:b/>
          <w:i w:val="0"/>
        </w:rPr>
        <w:t>La edición vigente es SP 800-63-4, publicada en julio de 2025</w:t>
      </w:r>
      <w:r>
        <w:rPr>
          <w:b w:val="0"/>
          <w:i w:val="0"/>
        </w:rPr>
        <w:t xml:space="preserve"> (</w:t>
      </w:r>
      <w:hyperlink r:id="rId11">
        <w:r>
          <w:rPr>
            <w:color w:val="0563C1"/>
            <w:u w:val="single"/>
          </w:rPr>
          <w:t xml:space="preserve">suite completa</w:t>
        </w:r>
      </w:hyperlink>
      <w:r>
        <w:rPr>
          <w:b w:val="0"/>
          <w:i w:val="0"/>
        </w:rPr>
        <w:t xml:space="preserve">, </w:t>
      </w:r>
      <w:hyperlink r:id="rId12">
        <w:r>
          <w:rPr>
            <w:color w:val="0563C1"/>
            <w:u w:val="single"/>
          </w:rPr>
          <w:t xml:space="preserve">800-63B-4: autenticación</w:t>
        </w:r>
      </w:hyperlink>
      <w:r>
        <w:rPr>
          <w:b w:val="0"/>
          <w:i w:val="0"/>
        </w:rPr>
        <w:t>).</w:t>
      </w:r>
    </w:p>
    <w:p>
      <w:pPr>
        <w:pStyle w:val="ListBullet"/>
      </w:pPr>
      <w:r>
        <w:rPr>
          <w:b/>
          <w:i w:val="0"/>
        </w:rPr>
        <w:t>`amr`: RFC 8176, agosto de 2017.</w:t>
      </w:r>
    </w:p>
    <w:p>
      <w:r>
        <w:rPr>
          <w:b w:val="0"/>
          <w:i w:val="0"/>
        </w:rPr>
        <w:t xml:space="preserve">Lo que dice NIST —y es la idea académica que te conviene enunciar— es que </w:t>
      </w:r>
      <w:r>
        <w:rPr>
          <w:b/>
          <w:i w:val="0"/>
        </w:rPr>
        <w:t>no todos los autenticadores dan la misma garantía</w:t>
      </w:r>
      <w:r>
        <w:rPr>
          <w:b w:val="0"/>
          <w:i w:val="0"/>
        </w:rPr>
        <w:t>, y que el nivel de garantía debe estar ligado al riesgo de la operación. De ahí salen dos conceptos:</w:t>
      </w:r>
    </w:p>
    <w:p>
      <w:pPr>
        <w:pStyle w:val="ListBullet"/>
      </w:pPr>
      <w:r>
        <w:rPr>
          <w:b/>
          <w:i w:val="0"/>
        </w:rPr>
        <w:t>AAL2</w:t>
      </w:r>
      <w:r>
        <w:rPr>
          <w:b w:val="0"/>
          <w:i w:val="0"/>
        </w:rPr>
        <w:t xml:space="preserve"> exige dos factores de tipos distintos.</w:t>
      </w:r>
    </w:p>
    <w:p>
      <w:pPr>
        <w:pStyle w:val="ListBullet"/>
      </w:pPr>
      <w:r>
        <w:rPr>
          <w:b/>
          <w:i w:val="0"/>
        </w:rPr>
        <w:t>AAL3</w:t>
      </w:r>
      <w:r>
        <w:rPr>
          <w:b w:val="0"/>
          <w:i w:val="0"/>
        </w:rPr>
        <w:t xml:space="preserve"> exige prueba criptográfica de posesión de una clave en hardware y resistencia a la suplantación del verificador —es decir, passkeys/WebAuthn en la práctica.</w:t>
      </w:r>
    </w:p>
    <w:p>
      <w:pPr>
        <w:pStyle w:val="Heading3"/>
      </w:pPr>
      <w:r>
        <w:t>4.2.2 Jerarquía de métodos (para una slide de "no todos los MFA son iguales")</w:t>
      </w:r>
    </w:p>
    <w:p>
      <w:r>
        <w:rPr>
          <w:b w:val="0"/>
          <w:i w:val="0"/>
        </w:rPr>
        <w:t xml:space="preserve">1. </w:t>
      </w:r>
      <w:r>
        <w:rPr>
          <w:b/>
          <w:i w:val="0"/>
        </w:rPr>
        <w:t>WebAuthn / passkeys / FIDO2</w:t>
      </w:r>
      <w:r>
        <w:rPr>
          <w:b w:val="0"/>
          <w:i w:val="0"/>
        </w:rPr>
        <w:t xml:space="preserve"> — </w:t>
      </w:r>
      <w:r>
        <w:rPr>
          <w:b/>
          <w:i w:val="0"/>
        </w:rPr>
        <w:t>WebAuthn llegó a Recomendación del W3C en marzo de 2019</w:t>
      </w:r>
      <w:r>
        <w:rPr>
          <w:b w:val="0"/>
          <w:i w:val="0"/>
        </w:rPr>
        <w:t>. Resistencia al phishing por diseño: el desafío está ligado al origen, así que un sitio falso no puede usarlo. Es el único factor que sobrevive al phishing clásico.</w:t>
      </w:r>
    </w:p>
    <w:p>
      <w:r>
        <w:rPr>
          <w:b w:val="0"/>
          <w:i w:val="0"/>
        </w:rPr>
        <w:t xml:space="preserve">2. </w:t>
      </w:r>
      <w:r>
        <w:rPr>
          <w:b/>
          <w:i w:val="0"/>
        </w:rPr>
        <w:t>TOTP (OTP de tiempo)</w:t>
      </w:r>
      <w:r>
        <w:rPr>
          <w:b w:val="0"/>
          <w:i w:val="0"/>
        </w:rPr>
        <w:t xml:space="preserve"> — mejor que nada, pero es un código que se puede phishear en tiempo real (y los ataques AiTM exactamente eso hacen).</w:t>
      </w:r>
    </w:p>
    <w:p>
      <w:r>
        <w:rPr>
          <w:b w:val="0"/>
          <w:i w:val="0"/>
        </w:rPr>
        <w:t xml:space="preserve">3. </w:t>
      </w:r>
      <w:r>
        <w:rPr>
          <w:b/>
          <w:i w:val="0"/>
        </w:rPr>
        <w:t>SMS</w:t>
      </w:r>
      <w:r>
        <w:rPr>
          <w:b w:val="0"/>
          <w:i w:val="0"/>
        </w:rPr>
        <w:t xml:space="preserve"> — el más débil de los aceptables; expuesto a SIM swapping y a intercepción. NIST en 800-63B-4 lo trata con cautelas según el escenario de riesgo.</w:t>
      </w:r>
    </w:p>
    <w:p>
      <w:r>
        <w:rPr>
          <w:b w:val="0"/>
          <w:i w:val="0"/>
        </w:rPr>
        <w:t xml:space="preserve">4. </w:t>
      </w:r>
      <w:r>
        <w:rPr>
          <w:b/>
          <w:i w:val="0"/>
        </w:rPr>
        <w:t>Push de aplicación</w:t>
      </w:r>
      <w:r>
        <w:rPr>
          <w:b w:val="0"/>
          <w:i w:val="0"/>
        </w:rPr>
        <w:t xml:space="preserve"> — cómodo, pero creado con un agujero conocido: la fatiga. Ver 4.5.</w:t>
      </w:r>
    </w:p>
    <w:p>
      <w:r>
        <w:rPr>
          <w:b/>
          <w:i w:val="0"/>
        </w:rPr>
        <w:t>Passkeys</w:t>
      </w:r>
      <w:r>
        <w:rPr>
          <w:b w:val="0"/>
          <w:i w:val="0"/>
        </w:rPr>
        <w:t xml:space="preserve">: alineados con </w:t>
      </w:r>
      <w:r>
        <w:rPr>
          <w:b/>
          <w:i w:val="0"/>
        </w:rPr>
        <w:t>NIST SP 800-63-4 (julio de 2025)</w:t>
      </w:r>
      <w:r>
        <w:rPr>
          <w:b w:val="0"/>
          <w:i w:val="0"/>
        </w:rPr>
        <w:t xml:space="preserve">, que incorporó explícitamente los </w:t>
      </w:r>
      <w:r>
        <w:rPr>
          <w:b w:val="0"/>
          <w:i/>
        </w:rPr>
        <w:t>syncable authenticators</w:t>
      </w:r>
      <w:r>
        <w:rPr>
          <w:b w:val="0"/>
          <w:i w:val="0"/>
        </w:rPr>
        <w:t xml:space="preserve"> (passkeys sincronizables) a la taxonomía.</w:t>
      </w:r>
    </w:p>
    <w:p>
      <w:pPr>
        <w:pStyle w:val="Heading3"/>
      </w:pPr>
      <w:r>
        <w:t>4.2.3 Step-up: la MFA no es un evento único</w:t>
      </w:r>
    </w:p>
    <w:p>
      <w:r>
        <w:rPr>
          <w:b w:val="0"/>
          <w:i w:val="0"/>
        </w:rPr>
        <w:t xml:space="preserve">Concepto académico importante: </w:t>
      </w:r>
      <w:r>
        <w:rPr>
          <w:b/>
          <w:i w:val="0"/>
        </w:rPr>
        <w:t>step-up authentication</w:t>
      </w:r>
      <w:r>
        <w:rPr>
          <w:b w:val="0"/>
          <w:i w:val="0"/>
        </w:rPr>
        <w:t>. No autenticás una vez para todo; autenticás con más fuerza según el riesgo de la operación.</w:t>
      </w:r>
    </w:p>
    <w:p>
      <w:pPr>
        <w:pStyle w:val="ListBullet"/>
      </w:pPr>
      <w:r>
        <w:rPr>
          <w:rFonts w:ascii="Consolas" w:hAnsi="Consolas"/>
          <w:b w:val="0"/>
          <w:i w:val="0"/>
          <w:color w:val="A03030"/>
        </w:rPr>
        <w:t>acr</w:t>
      </w:r>
      <w:r>
        <w:rPr>
          <w:b w:val="0"/>
          <w:i w:val="0"/>
        </w:rPr>
        <w:t xml:space="preserve"> y </w:t>
      </w:r>
      <w:r>
        <w:rPr>
          <w:rFonts w:ascii="Consolas" w:hAnsi="Consolas"/>
          <w:b w:val="0"/>
          <w:i w:val="0"/>
          <w:color w:val="A03030"/>
        </w:rPr>
        <w:t>auth_time</w:t>
      </w:r>
      <w:r>
        <w:rPr>
          <w:b w:val="0"/>
          <w:i w:val="0"/>
        </w:rPr>
        <w:t xml:space="preserve"> permiten a la API —o al servidor de autorización— preguntar: </w:t>
      </w:r>
      <w:r>
        <w:rPr>
          <w:b w:val="0"/>
          <w:i/>
        </w:rPr>
        <w:t>¿esta transferencia se autoriza con una sesión autenticada hace seis horas o con una autenticación de menos de dos minutos y a nivel AAL3?</w:t>
      </w:r>
    </w:p>
    <w:p>
      <w:pPr>
        <w:pStyle w:val="ListBullet"/>
      </w:pPr>
      <w:r>
        <w:rPr>
          <w:b w:val="0"/>
          <w:i w:val="0"/>
        </w:rPr>
        <w:t>OIDC permite exigir re-autenticación (</w:t>
      </w:r>
      <w:r>
        <w:rPr>
          <w:rFonts w:ascii="Consolas" w:hAnsi="Consolas"/>
          <w:b w:val="0"/>
          <w:i w:val="0"/>
          <w:color w:val="A03030"/>
        </w:rPr>
        <w:t>prompt=login</w:t>
      </w:r>
      <w:r>
        <w:rPr>
          <w:b w:val="0"/>
          <w:i w:val="0"/>
        </w:rPr>
        <w:t xml:space="preserve">) y fijar un </w:t>
      </w:r>
      <w:r>
        <w:rPr>
          <w:rFonts w:ascii="Consolas" w:hAnsi="Consolas"/>
          <w:b w:val="0"/>
          <w:i w:val="0"/>
          <w:color w:val="A03030"/>
        </w:rPr>
        <w:t>acr_values</w:t>
      </w:r>
      <w:r>
        <w:rPr>
          <w:b w:val="0"/>
          <w:i w:val="0"/>
        </w:rPr>
        <w:t xml:space="preserve"> deseado.</w:t>
      </w:r>
    </w:p>
    <w:p>
      <w:pPr>
        <w:pStyle w:val="ListBullet"/>
      </w:pPr>
      <w:r>
        <w:rPr>
          <w:b w:val="0"/>
          <w:i w:val="0"/>
        </w:rPr>
        <w:t xml:space="preserve">En términos de tokens: una operación sensible debería exigir </w:t>
      </w:r>
      <w:r>
        <w:rPr>
          <w:b/>
          <w:i w:val="0"/>
        </w:rPr>
        <w:t>emitir un token nuevo</w:t>
      </w:r>
      <w:r>
        <w:rPr>
          <w:b w:val="0"/>
          <w:i w:val="0"/>
        </w:rPr>
        <w:t xml:space="preserve">, con </w:t>
      </w:r>
      <w:r>
        <w:rPr>
          <w:rFonts w:ascii="Consolas" w:hAnsi="Consolas"/>
          <w:b w:val="0"/>
          <w:i w:val="0"/>
          <w:color w:val="A03030"/>
        </w:rPr>
        <w:t>acr</w:t>
      </w:r>
      <w:r>
        <w:rPr>
          <w:b w:val="0"/>
          <w:i w:val="0"/>
        </w:rPr>
        <w:t xml:space="preserve"> elevado, en ese momento —no reutilizar el token de la sesión de la mañana.</w:t>
      </w:r>
    </w:p>
    <w:p>
      <w:r>
        <w:rPr>
          <w:b w:val="0"/>
          <w:i/>
        </w:rPr>
        <w:t>Cita hablada sugerida:</w:t>
      </w:r>
      <w:r>
        <w:rPr>
          <w:b w:val="0"/>
          <w:i w:val="0"/>
        </w:rPr>
        <w:t xml:space="preserve"> "El step-up es la diferencia entre exigir el DNI en la puerta del país y exigirlo en la puerta del banco central. Misma identidad, distinto umbral."</w:t>
      </w:r>
    </w:p>
    <w:p>
      <w:pPr>
        <w:pStyle w:val="Heading3"/>
      </w:pPr>
      <w:r>
        <w:t>4.2.4 Los tres modos en que la MFA no salva a un bearer</w:t>
      </w:r>
    </w:p>
    <w:p>
      <w:r>
        <w:rPr>
          <w:b w:val="0"/>
          <w:i w:val="0"/>
        </w:rPr>
        <w:t xml:space="preserve">Aquí es donde la teoría se encuentra con los incidentes reales. Hay exactamente tres familias de ataque que la MFA no cubre, porque atacan </w:t>
      </w:r>
      <w:r>
        <w:rPr>
          <w:b w:val="0"/>
          <w:i/>
        </w:rPr>
        <w:t>después</w:t>
      </w:r>
      <w:r>
        <w:rPr>
          <w:b w:val="0"/>
          <w:i w:val="0"/>
        </w:rPr>
        <w:t xml:space="preserve"> de la emisión:</w:t>
      </w:r>
    </w:p>
    <w:p>
      <w:r>
        <w:rPr>
          <w:b/>
          <w:i w:val="0"/>
        </w:rPr>
        <w:t>1. Fatiga de MFA (push bombing).</w:t>
      </w:r>
      <w:r>
        <w:rPr>
          <w:b w:val="0"/>
          <w:i w:val="0"/>
        </w:rPr>
        <w:t xml:space="preserve"> El atacante ya tiene la contraseña, dispara pushes repetidos hasta que la víctima, harta, aprueba. </w:t>
      </w:r>
      <w:r>
        <w:rPr>
          <w:b/>
          <w:i w:val="0"/>
        </w:rPr>
        <w:t>MITRE ATT&amp;CK lo registra como T1621, "Multi-Factor Authentication Request Generation".</w:t>
      </w:r>
      <w:r>
        <w:rPr>
          <w:b w:val="0"/>
          <w:i w:val="0"/>
        </w:rPr>
        <w:t xml:space="preserve"> Caso público emblemático: </w:t>
      </w:r>
      <w:r>
        <w:rPr>
          <w:b/>
          <w:i w:val="0"/>
        </w:rPr>
        <w:t>Uber, septiembre de 2022</w:t>
      </w:r>
      <w:r>
        <w:rPr>
          <w:b w:val="0"/>
          <w:i w:val="0"/>
        </w:rPr>
        <w:t xml:space="preserve"> —credenciales de un contratista compradas en un foro, y luego un mensaje de texto suplantando al área de IT para que el empleado aprobara el prompt (</w:t>
      </w:r>
      <w:hyperlink r:id="rId13">
        <w:r>
          <w:rPr>
            <w:color w:val="0563C1"/>
            <w:u w:val="single"/>
          </w:rPr>
          <w:t xml:space="preserve">NYT</w:t>
        </w:r>
      </w:hyperlink>
      <w:r>
        <w:rPr>
          <w:b w:val="0"/>
          <w:i w:val="0"/>
        </w:rPr>
        <w:t xml:space="preserve">, </w:t>
      </w:r>
      <w:hyperlink r:id="rId14">
        <w:r>
          <w:rPr>
            <w:color w:val="0563C1"/>
            <w:u w:val="single"/>
          </w:rPr>
          <w:t xml:space="preserve">UpGuard</w:t>
        </w:r>
      </w:hyperlink>
      <w:r>
        <w:rPr>
          <w:b w:val="0"/>
          <w:i w:val="0"/>
        </w:rPr>
        <w:t>).</w:t>
      </w:r>
    </w:p>
    <w:p>
      <w:r>
        <w:rPr>
          <w:b/>
          <w:i w:val="0"/>
        </w:rPr>
        <w:t>2. Adversary-in-the-Middle (AiTM).</w:t>
      </w:r>
      <w:r>
        <w:rPr>
          <w:b w:val="0"/>
          <w:i w:val="0"/>
        </w:rPr>
        <w:t xml:space="preserve"> El phishing ya no roba la password: intercepta la </w:t>
      </w:r>
      <w:r>
        <w:rPr>
          <w:b w:val="0"/>
          <w:i/>
        </w:rPr>
        <w:t>sesión completa</w:t>
      </w:r>
      <w:r>
        <w:rPr>
          <w:b w:val="0"/>
          <w:i w:val="0"/>
        </w:rPr>
        <w:t xml:space="preserve"> resultante de la MFA. El atacante queda con un token ya autenticado y la víctima no se entera.</w:t>
      </w:r>
    </w:p>
    <w:p>
      <w:r>
        <w:rPr>
          <w:b/>
          <w:i w:val="0"/>
        </w:rPr>
        <w:t>3. Robo de sesión / infostealers.</w:t>
      </w:r>
      <w:r>
        <w:rPr>
          <w:b w:val="0"/>
          <w:i w:val="0"/>
        </w:rPr>
        <w:t xml:space="preserve"> Malware que extrae cookies y tokens del navegador. La familia de ataques se llama "pass-the-cookie": se pega la sesión en otro navegador y el servidor no distingue nada. Familias como RedLine, Raccoon o Vidar están orientadas exactamente a esto.</w:t>
      </w:r>
    </w:p>
    <w:p>
      <w:r>
        <w:rPr>
          <w:b/>
          <w:i w:val="0"/>
        </w:rPr>
        <w:t>Síntesis para la slide:</w:t>
      </w:r>
      <w:r>
        <w:rPr>
          <w:b w:val="0"/>
          <w:i w:val="0"/>
        </w:rPr>
        <w:t xml:space="preserve"> </w:t>
      </w:r>
      <w:r>
        <w:rPr>
          <w:b w:val="0"/>
          <w:i/>
        </w:rPr>
        <w:t>"La MFA protege el instante de la emisión. Todo lo que ocurre después —fatiga, intercepción, robo de artefactos— queda fuera de su alcance."</w:t>
      </w:r>
    </w:p>
    <w:p>
      <w:pPr>
        <w:pStyle w:val="Heading2"/>
      </w:pPr>
      <w:r>
        <w:t>4.3 Caso B: la API la invoca un sistema</w:t>
      </w:r>
    </w:p>
    <w:p>
      <w:r>
        <w:rPr>
          <w:b w:val="0"/>
          <w:i w:val="0"/>
        </w:rPr>
        <w:t>Ahora el otro lado, que es donde está la mayoría del tráfico real de las APIs y donde menos se piensa.</w:t>
      </w:r>
    </w:p>
    <w:p>
      <w:pPr>
        <w:pStyle w:val="Heading3"/>
      </w:pPr>
      <w:r>
        <w:t>4.3.1 El cambio de pregunta</w:t>
      </w:r>
    </w:p>
    <w:p>
      <w:r>
        <w:rPr>
          <w:b w:val="0"/>
          <w:i w:val="0"/>
        </w:rPr>
        <w:t xml:space="preserve">Cuando el invocador es un microservicio, un job de CI, un dispositivo IoT o una integración de un tercero, </w:t>
      </w:r>
      <w:r>
        <w:rPr>
          <w:b/>
          <w:i w:val="0"/>
        </w:rPr>
        <w:t>la pregunta "¿quién es el usuario?" no tiene respuesta, porque no hay usuario.</w:t>
      </w:r>
      <w:r>
        <w:rPr>
          <w:b w:val="0"/>
          <w:i w:val="0"/>
        </w:rPr>
        <w:t xml:space="preserve"> La pregunta correcta es: </w:t>
      </w:r>
      <w:r>
        <w:rPr>
          <w:b/>
          <w:i w:val="0"/>
        </w:rPr>
        <w:t>¿qué workload es este, con qué credenciales de ciclo de vida corto, y bajo qué contexto está hablando?</w:t>
      </w:r>
    </w:p>
    <w:p>
      <w:r>
        <w:rPr>
          <w:b/>
          <w:i w:val="0"/>
        </w:rPr>
        <w:t>No hay MFA aplicable.</w:t>
      </w:r>
      <w:r>
        <w:rPr>
          <w:b w:val="0"/>
          <w:i w:val="0"/>
        </w:rPr>
        <w:t xml:space="preserve"> No hay un segundo factor que mostrar: no hay persona, no hay dispositivo con pantalla, no hay "momento de autenticación". Por eso la afirmación que quiero que se lleven es:</w:t>
      </w:r>
    </w:p>
    <w:p>
      <w:r>
        <w:rPr>
          <w:b/>
          <w:i w:val="0"/>
        </w:rPr>
        <w:t>El equivalente funcional del MFA para sistemas no es un segundo factor puntual: es la posesión de una identidad de workload fuerte, verificable y de vida corta.</w:t>
      </w:r>
    </w:p>
    <w:p>
      <w:pPr>
        <w:pStyle w:val="Heading3"/>
      </w:pPr>
      <w:r>
        <w:t>4.3.2 Los mecanismos, con su primera aparición</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i w:val="0"/>
              </w:rPr>
              <w:t>Mecanismo</w:t>
            </w:r>
          </w:p>
        </w:tc>
        <w:tc>
          <w:tcPr>
            <w:tcW w:type="dxa" w:w="3216"/>
          </w:tcPr>
          <w:p>
            <w:r>
              <w:rPr>
                <w:b/>
                <w:i w:val="0"/>
              </w:rPr>
              <w:t>Qué aporta</w:t>
            </w:r>
          </w:p>
        </w:tc>
        <w:tc>
          <w:tcPr>
            <w:tcW w:type="dxa" w:w="3216"/>
          </w:tcPr>
          <w:p>
            <w:r>
              <w:rPr>
                <w:b/>
                <w:i w:val="0"/>
              </w:rPr>
              <w:t>Primera aparición</w:t>
            </w:r>
          </w:p>
        </w:tc>
      </w:tr>
      <w:tr>
        <w:tc>
          <w:tcPr>
            <w:tcW w:type="dxa" w:w="3216"/>
          </w:tcPr>
          <w:p>
            <w:r>
              <w:rPr>
                <w:b/>
                <w:i w:val="0"/>
              </w:rPr>
              <w:t>Client credentials grant</w:t>
            </w:r>
            <w:r>
              <w:rPr>
                <w:b w:val="0"/>
                <w:i w:val="0"/>
              </w:rPr>
              <w:t xml:space="preserve"> — el sistema se autentica solo y obtiene un access token</w:t>
            </w:r>
          </w:p>
        </w:tc>
        <w:tc>
          <w:tcPr>
            <w:tcW w:type="dxa" w:w="3216"/>
          </w:tcPr>
          <w:p>
            <w:r>
              <w:rPr>
                <w:b w:val="0"/>
                <w:i w:val="0"/>
              </w:rPr>
              <w:t>El estándar mínimo para máquina</w:t>
            </w:r>
          </w:p>
        </w:tc>
        <w:tc>
          <w:tcPr>
            <w:tcW w:type="dxa" w:w="3216"/>
          </w:tcPr>
          <w:p>
            <w:r>
              <w:rPr>
                <w:b w:val="0"/>
                <w:i w:val="0"/>
              </w:rPr>
              <w:t>RFC 6749 §4.4, octubre 2012</w:t>
            </w:r>
          </w:p>
        </w:tc>
      </w:tr>
      <w:tr>
        <w:tc>
          <w:tcPr>
            <w:tcW w:type="dxa" w:w="3216"/>
          </w:tcPr>
          <w:p>
            <w:r>
              <w:rPr>
                <w:b/>
                <w:i w:val="0"/>
              </w:rPr>
              <w:t>Asertión JWT firmada del cliente (`private_key_jwt`)</w:t>
            </w:r>
          </w:p>
        </w:tc>
        <w:tc>
          <w:tcPr>
            <w:tcW w:type="dxa" w:w="3216"/>
          </w:tcPr>
          <w:p>
            <w:r>
              <w:rPr>
                <w:b w:val="0"/>
                <w:i w:val="0"/>
              </w:rPr>
              <w:t>Autenticación de cliente con clave privada en vez de secreto compartido</w:t>
            </w:r>
          </w:p>
        </w:tc>
        <w:tc>
          <w:tcPr>
            <w:tcW w:type="dxa" w:w="3216"/>
          </w:tcPr>
          <w:p>
            <w:r>
              <w:rPr>
                <w:b w:val="0"/>
                <w:i w:val="0"/>
              </w:rPr>
              <w:t>RFC 7523, 2015</w:t>
            </w:r>
          </w:p>
        </w:tc>
      </w:tr>
      <w:tr>
        <w:tc>
          <w:tcPr>
            <w:tcW w:type="dxa" w:w="3216"/>
          </w:tcPr>
          <w:p>
            <w:r>
              <w:rPr>
                <w:b/>
                <w:i w:val="0"/>
              </w:rPr>
              <w:t>mTLS: identidad por certificado + token atado al certificado</w:t>
            </w:r>
          </w:p>
        </w:tc>
        <w:tc>
          <w:tcPr>
            <w:tcW w:type="dxa" w:w="3216"/>
          </w:tcPr>
          <w:p>
            <w:r>
              <w:rPr>
                <w:b w:val="0"/>
                <w:i w:val="0"/>
              </w:rPr>
              <w:t>La posesión del token no basta: hay que presentar el certificado emparejado</w:t>
            </w:r>
          </w:p>
        </w:tc>
        <w:tc>
          <w:tcPr>
            <w:tcW w:type="dxa" w:w="3216"/>
          </w:tcPr>
          <w:p>
            <w:r>
              <w:rPr>
                <w:b w:val="0"/>
                <w:i w:val="0"/>
              </w:rPr>
              <w:t>RFC 8705, febrero de 2020</w:t>
            </w:r>
          </w:p>
        </w:tc>
      </w:tr>
      <w:tr>
        <w:tc>
          <w:tcPr>
            <w:tcW w:type="dxa" w:w="3216"/>
          </w:tcPr>
          <w:p>
            <w:r>
              <w:rPr>
                <w:b/>
                <w:i w:val="0"/>
              </w:rPr>
              <w:t>DPoP: token atado a una clave privada del cliente</w:t>
            </w:r>
          </w:p>
        </w:tc>
        <w:tc>
          <w:tcPr>
            <w:tcW w:type="dxa" w:w="3216"/>
          </w:tcPr>
          <w:p>
            <w:r>
              <w:rPr>
                <w:b w:val="0"/>
                <w:i w:val="0"/>
              </w:rPr>
              <w:t>Lo mismo, sin la infraestructura de certificados; prueba de posesión por request</w:t>
            </w:r>
          </w:p>
        </w:tc>
        <w:tc>
          <w:tcPr>
            <w:tcW w:type="dxa" w:w="3216"/>
          </w:tcPr>
          <w:p>
            <w:r>
              <w:rPr>
                <w:b w:val="0"/>
                <w:i w:val="0"/>
              </w:rPr>
              <w:t>RFC 9449, octubre de 2023</w:t>
            </w:r>
          </w:p>
        </w:tc>
      </w:tr>
      <w:tr>
        <w:tc>
          <w:tcPr>
            <w:tcW w:type="dxa" w:w="3216"/>
          </w:tcPr>
          <w:p>
            <w:r>
              <w:rPr>
                <w:b/>
                <w:i w:val="0"/>
              </w:rPr>
              <w:t>Firma de requests estilo HMAC por petición (AWS SigV4)</w:t>
            </w:r>
          </w:p>
        </w:tc>
        <w:tc>
          <w:tcPr>
            <w:tcW w:type="dxa" w:w="3216"/>
          </w:tcPr>
          <w:p>
            <w:r>
              <w:rPr>
                <w:b w:val="0"/>
                <w:i w:val="0"/>
              </w:rPr>
              <w:t>El retorno, en el fondo, a la idea de OAuth 1.0: firmar cada request</w:t>
            </w:r>
          </w:p>
        </w:tc>
        <w:tc>
          <w:tcPr>
            <w:tcW w:type="dxa" w:w="3216"/>
          </w:tcPr>
          <w:p>
            <w:r>
              <w:rPr>
                <w:b w:val="0"/>
                <w:i w:val="0"/>
              </w:rPr>
              <w:t>práctica de industria (AWS Signature Version 4, documentada desde 2014)</w:t>
            </w:r>
          </w:p>
        </w:tc>
      </w:tr>
      <w:tr>
        <w:tc>
          <w:tcPr>
            <w:tcW w:type="dxa" w:w="3216"/>
          </w:tcPr>
          <w:p>
            <w:r>
              <w:rPr>
                <w:b/>
                <w:i w:val="0"/>
              </w:rPr>
              <w:t>Identidad de workload (SPIFFE/SPIRE, federación de identidad en la nube)</w:t>
            </w:r>
          </w:p>
        </w:tc>
        <w:tc>
          <w:tcPr>
            <w:tcW w:type="dxa" w:w="3216"/>
          </w:tcPr>
          <w:p>
            <w:r>
              <w:rPr>
                <w:b w:val="0"/>
                <w:i w:val="0"/>
              </w:rPr>
              <w:t>Identidad emitida por infraestructura, con rotación automática</w:t>
            </w:r>
          </w:p>
        </w:tc>
        <w:tc>
          <w:tcPr>
            <w:tcW w:type="dxa" w:w="3216"/>
          </w:tcPr>
          <w:p>
            <w:r>
              <w:rPr>
                <w:b w:val="0"/>
                <w:i w:val="0"/>
              </w:rPr>
              <w:t>SPIFFE, proyecto CNCF (2017-)</w:t>
            </w:r>
          </w:p>
        </w:tc>
      </w:tr>
      <w:tr>
        <w:tc>
          <w:tcPr>
            <w:tcW w:type="dxa" w:w="3216"/>
          </w:tcPr>
          <w:p>
            <w:r>
              <w:rPr>
                <w:b/>
                <w:i w:val="0"/>
              </w:rPr>
              <w:t>Credenciales temporales tipo STS</w:t>
            </w:r>
          </w:p>
        </w:tc>
        <w:tc>
          <w:tcPr>
            <w:tcW w:type="dxa" w:w="3216"/>
          </w:tcPr>
          <w:p>
            <w:r>
              <w:rPr>
                <w:b w:val="0"/>
                <w:i w:val="0"/>
              </w:rPr>
              <w:t>Secretos de minutos en lugar de años</w:t>
            </w:r>
          </w:p>
        </w:tc>
        <w:tc>
          <w:tcPr>
            <w:tcW w:type="dxa" w:w="3216"/>
          </w:tcPr>
          <w:p>
            <w:r>
              <w:rPr>
                <w:b w:val="0"/>
                <w:i w:val="0"/>
              </w:rPr>
              <w:t>práctica de industria (AWS STS, 2011-)</w:t>
            </w:r>
          </w:p>
        </w:tc>
      </w:tr>
      <w:tr>
        <w:tc>
          <w:tcPr>
            <w:tcW w:type="dxa" w:w="3216"/>
          </w:tcPr>
          <w:p>
            <w:r>
              <w:rPr>
                <w:b/>
                <w:i w:val="0"/>
              </w:rPr>
              <w:t>Rotación automática y mínimo privilegio</w:t>
            </w:r>
          </w:p>
        </w:tc>
        <w:tc>
          <w:tcPr>
            <w:tcW w:type="dxa" w:w="3216"/>
          </w:tcPr>
          <w:p>
            <w:r>
              <w:rPr>
                <w:b w:val="0"/>
                <w:i w:val="0"/>
              </w:rPr>
              <w:t>El "MFA continuo" del sistema</w:t>
            </w:r>
          </w:p>
        </w:tc>
        <w:tc>
          <w:tcPr>
            <w:tcW w:type="dxa" w:w="3216"/>
          </w:tcPr>
          <w:p>
            <w:r>
              <w:rPr>
                <w:b w:val="0"/>
                <w:i w:val="0"/>
              </w:rPr>
              <w:t>NIST SP 800-63-4 (2025) para personas; ISO 27001/Gestión de secretos para máquinas</w:t>
            </w:r>
          </w:p>
        </w:tc>
      </w:tr>
    </w:tbl>
    <w:p/>
    <w:p>
      <w:pPr>
        <w:pStyle w:val="Heading3"/>
      </w:pPr>
      <w:r>
        <w:t>4.3.3 El dato que le da urgencia al bloque</w:t>
      </w:r>
    </w:p>
    <w:p>
      <w:r>
        <w:rPr>
          <w:b/>
          <w:i w:val="0"/>
        </w:rPr>
        <w:t>GitGuardian enmarcó su último informe explícitamente alrededor de la "crisis de identidades no humanas (NHI)"</w:t>
      </w:r>
      <w:r>
        <w:rPr>
          <w:b w:val="0"/>
          <w:i w:val="0"/>
        </w:rPr>
        <w:t xml:space="preserve">: la inmensa mayoría de los secretos filtrados no son passwords de personas, son credenciales de sistemas —API keys, tokens de CI, claves cloud—, y </w:t>
      </w:r>
      <w:r>
        <w:rPr>
          <w:b/>
          <w:i w:val="0"/>
        </w:rPr>
        <w:t>más del 60 % de los secretos válidos detectados en 2022 seguían activos años después</w:t>
      </w:r>
      <w:r>
        <w:rPr>
          <w:b w:val="0"/>
          <w:i w:val="0"/>
        </w:rPr>
        <w:t xml:space="preserve"> (</w:t>
      </w:r>
      <w:hyperlink r:id="rId9">
        <w:r>
          <w:rPr>
            <w:color w:val="0563C1"/>
            <w:u w:val="single"/>
          </w:rPr>
          <w:t xml:space="preserve">State of Secrets Sprawl 2026</w:t>
        </w:r>
      </w:hyperlink>
      <w:r>
        <w:rPr>
          <w:b w:val="0"/>
          <w:i w:val="0"/>
        </w:rPr>
        <w:t>).</w:t>
      </w:r>
    </w:p>
    <w:p>
      <w:r>
        <w:rPr>
          <w:b w:val="0"/>
          <w:i/>
        </w:rPr>
        <w:t>Cita hablada sugerida:</w:t>
      </w:r>
      <w:r>
        <w:rPr>
          <w:b w:val="0"/>
          <w:i w:val="0"/>
        </w:rPr>
        <w:t xml:space="preserve"> "Nos pasamos años peleando con la MFA para las personas, mientras las máquinas seguían usando llaves eternas guardadas en un archivo de texto."</w:t>
      </w:r>
    </w:p>
    <w:p>
      <w:pPr>
        <w:pStyle w:val="Heading2"/>
      </w:pPr>
      <w:r>
        <w:t>4.4 Tabla comparativa (slide de cierre del bloque)</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i w:val="0"/>
              </w:rPr>
              <w:t>Eje</w:t>
            </w:r>
          </w:p>
        </w:tc>
        <w:tc>
          <w:tcPr>
            <w:tcW w:type="dxa" w:w="3216"/>
          </w:tcPr>
          <w:p>
            <w:r>
              <w:rPr>
                <w:b/>
                <w:i w:val="0"/>
              </w:rPr>
              <w:t>Persona</w:t>
            </w:r>
          </w:p>
        </w:tc>
        <w:tc>
          <w:tcPr>
            <w:tcW w:type="dxa" w:w="3216"/>
          </w:tcPr>
          <w:p>
            <w:r>
              <w:rPr>
                <w:b/>
                <w:i w:val="0"/>
              </w:rPr>
              <w:t>Sistema</w:t>
            </w:r>
          </w:p>
        </w:tc>
      </w:tr>
      <w:tr>
        <w:tc>
          <w:tcPr>
            <w:tcW w:type="dxa" w:w="3216"/>
          </w:tcPr>
          <w:p>
            <w:r>
              <w:rPr>
                <w:b w:val="0"/>
                <w:i w:val="0"/>
              </w:rPr>
              <w:t>Qué se prueba</w:t>
            </w:r>
          </w:p>
        </w:tc>
        <w:tc>
          <w:tcPr>
            <w:tcW w:type="dxa" w:w="3216"/>
          </w:tcPr>
          <w:p>
            <w:r>
              <w:rPr>
                <w:b w:val="0"/>
                <w:i w:val="0"/>
              </w:rPr>
              <w:t>Que un humano se autenticó ante un IdP</w:t>
            </w:r>
          </w:p>
        </w:tc>
        <w:tc>
          <w:tcPr>
            <w:tcW w:type="dxa" w:w="3216"/>
          </w:tcPr>
          <w:p>
            <w:r>
              <w:rPr>
                <w:b w:val="0"/>
                <w:i w:val="0"/>
              </w:rPr>
              <w:t>Que un workload concreto pidió este token</w:t>
            </w:r>
          </w:p>
        </w:tc>
      </w:tr>
      <w:tr>
        <w:tc>
          <w:tcPr>
            <w:tcW w:type="dxa" w:w="3216"/>
          </w:tcPr>
          <w:p>
            <w:r>
              <w:rPr>
                <w:b w:val="0"/>
                <w:i w:val="0"/>
              </w:rPr>
              <w:t>Segundo factor</w:t>
            </w:r>
          </w:p>
        </w:tc>
        <w:tc>
          <w:tcPr>
            <w:tcW w:type="dxa" w:w="3216"/>
          </w:tcPr>
          <w:p>
            <w:r>
              <w:rPr>
                <w:b w:val="0"/>
                <w:i w:val="0"/>
              </w:rPr>
              <w:t>Passkey / OTP / push (NIST AAL2-AAL3)</w:t>
            </w:r>
          </w:p>
        </w:tc>
        <w:tc>
          <w:tcPr>
            <w:tcW w:type="dxa" w:w="3216"/>
          </w:tcPr>
          <w:p>
            <w:r>
              <w:rPr>
                <w:b w:val="0"/>
                <w:i w:val="0"/>
              </w:rPr>
              <w:t>No aplica: clave privada + certificado + contexto</w:t>
            </w:r>
          </w:p>
        </w:tc>
      </w:tr>
      <w:tr>
        <w:tc>
          <w:tcPr>
            <w:tcW w:type="dxa" w:w="3216"/>
          </w:tcPr>
          <w:p>
            <w:r>
              <w:rPr>
                <w:b w:val="0"/>
                <w:i w:val="0"/>
              </w:rPr>
              <w:t>Artefacto resultante</w:t>
            </w:r>
          </w:p>
        </w:tc>
        <w:tc>
          <w:tcPr>
            <w:tcW w:type="dxa" w:w="3216"/>
          </w:tcPr>
          <w:p>
            <w:r>
              <w:rPr>
                <w:b w:val="0"/>
                <w:i w:val="0"/>
              </w:rPr>
              <w:t>Sesión (larga) + access token (corta) + refresh token</w:t>
            </w:r>
          </w:p>
        </w:tc>
        <w:tc>
          <w:tcPr>
            <w:tcW w:type="dxa" w:w="3216"/>
          </w:tcPr>
          <w:p>
            <w:r>
              <w:rPr>
                <w:b w:val="0"/>
                <w:i w:val="0"/>
              </w:rPr>
              <w:t>Access token corto o credencial efímera</w:t>
            </w:r>
          </w:p>
        </w:tc>
      </w:tr>
      <w:tr>
        <w:tc>
          <w:tcPr>
            <w:tcW w:type="dxa" w:w="3216"/>
          </w:tcPr>
          <w:p>
            <w:r>
              <w:rPr>
                <w:b w:val="0"/>
                <w:i w:val="0"/>
              </w:rPr>
              <w:t>Vida típica</w:t>
            </w:r>
          </w:p>
        </w:tc>
        <w:tc>
          <w:tcPr>
            <w:tcW w:type="dxa" w:w="3216"/>
          </w:tcPr>
          <w:p>
            <w:r>
              <w:rPr>
                <w:b w:val="0"/>
                <w:i w:val="0"/>
              </w:rPr>
              <w:t>Minutos a horas (access token)</w:t>
            </w:r>
          </w:p>
        </w:tc>
        <w:tc>
          <w:tcPr>
            <w:tcW w:type="dxa" w:w="3216"/>
          </w:tcPr>
          <w:p>
            <w:r>
              <w:rPr>
                <w:b w:val="0"/>
                <w:i w:val="0"/>
              </w:rPr>
              <w:t>Minutos; rotación automática</w:t>
            </w:r>
          </w:p>
        </w:tc>
      </w:tr>
      <w:tr>
        <w:tc>
          <w:tcPr>
            <w:tcW w:type="dxa" w:w="3216"/>
          </w:tcPr>
          <w:p>
            <w:r>
              <w:rPr>
                <w:b w:val="0"/>
                <w:i w:val="0"/>
              </w:rPr>
              <w:t>Revocación</w:t>
            </w:r>
          </w:p>
        </w:tc>
        <w:tc>
          <w:tcPr>
            <w:tcW w:type="dxa" w:w="3216"/>
          </w:tcPr>
          <w:p>
            <w:r>
              <w:rPr>
                <w:b w:val="0"/>
                <w:i w:val="0"/>
              </w:rPr>
              <w:t>Endpoint de revocación (RFC 7009) y logout</w:t>
            </w:r>
          </w:p>
        </w:tc>
        <w:tc>
          <w:tcPr>
            <w:tcW w:type="dxa" w:w="3216"/>
          </w:tcPr>
          <w:p>
            <w:r>
              <w:rPr>
                <w:b w:val="0"/>
                <w:i w:val="0"/>
              </w:rPr>
              <w:t>Rotación/revocación de claves y de identidad</w:t>
            </w:r>
          </w:p>
        </w:tc>
      </w:tr>
      <w:tr>
        <w:tc>
          <w:tcPr>
            <w:tcW w:type="dxa" w:w="3216"/>
          </w:tcPr>
          <w:p>
            <w:r>
              <w:rPr>
                <w:b w:val="0"/>
                <w:i w:val="0"/>
              </w:rPr>
              <w:t>Fallo típico</w:t>
            </w:r>
          </w:p>
        </w:tc>
        <w:tc>
          <w:tcPr>
            <w:tcW w:type="dxa" w:w="3216"/>
          </w:tcPr>
          <w:p>
            <w:r>
              <w:rPr>
                <w:b w:val="0"/>
                <w:i w:val="0"/>
              </w:rPr>
              <w:t>Fatiga MFA, AiTM, infostealers</w:t>
            </w:r>
          </w:p>
        </w:tc>
        <w:tc>
          <w:tcPr>
            <w:tcW w:type="dxa" w:w="3216"/>
          </w:tcPr>
          <w:p>
            <w:r>
              <w:rPr>
                <w:b w:val="0"/>
                <w:i w:val="0"/>
              </w:rPr>
              <w:t>Secretos eternos en CI/repos, sin rotación</w:t>
            </w:r>
          </w:p>
        </w:tc>
      </w:tr>
      <w:tr>
        <w:tc>
          <w:tcPr>
            <w:tcW w:type="dxa" w:w="3216"/>
          </w:tcPr>
          <w:p>
            <w:r>
              <w:rPr>
                <w:b w:val="0"/>
                <w:i w:val="0"/>
              </w:rPr>
              <w:t>Dónde se decide</w:t>
            </w:r>
          </w:p>
        </w:tc>
        <w:tc>
          <w:tcPr>
            <w:tcW w:type="dxa" w:w="3216"/>
          </w:tcPr>
          <w:p>
            <w:r>
              <w:rPr>
                <w:b w:val="0"/>
                <w:i w:val="0"/>
              </w:rPr>
              <w:t>El IdP, al emitir (</w:t>
            </w:r>
            <w:r>
              <w:rPr>
                <w:rFonts w:ascii="Consolas" w:hAnsi="Consolas"/>
                <w:b w:val="0"/>
                <w:i w:val="0"/>
                <w:color w:val="A03030"/>
              </w:rPr>
              <w:t>acr</w:t>
            </w:r>
            <w:r>
              <w:rPr>
                <w:b w:val="0"/>
                <w:i w:val="0"/>
              </w:rPr>
              <w:t xml:space="preserve">, </w:t>
            </w:r>
            <w:r>
              <w:rPr>
                <w:rFonts w:ascii="Consolas" w:hAnsi="Consolas"/>
                <w:b w:val="0"/>
                <w:i w:val="0"/>
                <w:color w:val="A03030"/>
              </w:rPr>
              <w:t>amr</w:t>
            </w:r>
            <w:r>
              <w:rPr>
                <w:b w:val="0"/>
                <w:i w:val="0"/>
              </w:rPr>
              <w:t>)</w:t>
            </w:r>
          </w:p>
        </w:tc>
        <w:tc>
          <w:tcPr>
            <w:tcW w:type="dxa" w:w="3216"/>
          </w:tcPr>
          <w:p>
            <w:r>
              <w:rPr>
                <w:b w:val="0"/>
                <w:i w:val="0"/>
              </w:rPr>
              <w:t>El emisor de identidad de workload y su política</w:t>
            </w:r>
          </w:p>
        </w:tc>
      </w:tr>
    </w:tbl>
    <w:p/>
    <w:p>
      <w:r>
        <w:rPr>
          <w:b w:val="0"/>
          <w:i/>
        </w:rPr>
        <w:t>Frase de cierre del bloque:</w:t>
      </w:r>
      <w:r>
        <w:rPr>
          <w:b w:val="0"/>
          <w:i w:val="0"/>
        </w:rPr>
        <w:t xml:space="preserve"> </w:t>
      </w:r>
      <w:r>
        <w:rPr>
          <w:b w:val="0"/>
          <w:i/>
        </w:rPr>
        <w:t>"Para la persona, la pregunta es '¿quién pasó la MFA?'. Para el sistema, la pregunta es '¿qué credencial de qué vida corta me está hablando, y de qué contexto viene?'. Aplicar el marco de uno al otro es el error más caro de la disciplina."</w:t>
      </w:r>
    </w:p>
    <w:p>
      <w:r>
        <w:br w:type="page"/>
      </w:r>
    </w:p>
    <w:p>
      <w:pPr>
        <w:pStyle w:val="Heading1"/>
      </w:pPr>
      <w:r>
        <w:t>BLOQUE 5 — Ataques reales con bearer tokens: observación, no señalamiento (≈12 min)</w:t>
      </w:r>
    </w:p>
    <w:p>
      <w:r>
        <w:rPr>
          <w:b w:val="0"/>
          <w:i/>
        </w:rPr>
        <w:t>Framing inicial obligatorio, léelo casi literal:</w:t>
      </w:r>
    </w:p>
    <w:p>
      <w:pPr>
        <w:pStyle w:val="Quote"/>
      </w:pPr>
      <w:r>
        <w:rPr>
          <w:b w:val="0"/>
          <w:i w:val="0"/>
        </w:rPr>
        <w:t>"Los casos que siguen son todos divulgaciones públicas y responsables. Los equipos que los reportaron hicieron bien su trabajo. No voy a decir 'esto estuvo mal hecho' —voy a decir 'esto es lo que produce el modelo de seguridad por posesión'. Si algo enseñan estos casos es que el token funcionó exactamente como estaba diseñado para funcionar: si lo tenés, entrás. El fallo nunca está en el string."</w:t>
      </w:r>
    </w:p>
    <w:p>
      <w:pPr>
        <w:pStyle w:val="Heading2"/>
      </w:pPr>
      <w:r>
        <w:t>5.1 Token emitido mal en el cliente — Facebook, septiembre de 2018</w:t>
      </w:r>
    </w:p>
    <w:p>
      <w:r>
        <w:rPr>
          <w:b/>
          <w:i w:val="0"/>
        </w:rPr>
        <w:t>Qué pasó:</w:t>
      </w:r>
      <w:r>
        <w:rPr>
          <w:b w:val="0"/>
          <w:i w:val="0"/>
        </w:rPr>
        <w:t xml:space="preserve"> una interacción de tres bugs en la función </w:t>
      </w:r>
      <w:r>
        <w:rPr>
          <w:b w:val="0"/>
          <w:i/>
        </w:rPr>
        <w:t>"View As"</w:t>
      </w:r>
      <w:r>
        <w:rPr>
          <w:b w:val="0"/>
          <w:i w:val="0"/>
        </w:rPr>
        <w:t xml:space="preserve"> —que muestra tu perfil como lo ve otro usuario— hizo que el cargador de videos generara un access token </w:t>
      </w:r>
      <w:r>
        <w:rPr>
          <w:b/>
          <w:i w:val="0"/>
        </w:rPr>
        <w:t>no del espectador, sino del usuario consultado</w:t>
      </w:r>
      <w:r>
        <w:rPr>
          <w:b w:val="0"/>
          <w:i w:val="0"/>
        </w:rPr>
        <w:t>, y lo dejara embebido en el HTML de la página. Los atacantes lo extrajeron de ahí.</w:t>
      </w:r>
    </w:p>
    <w:p>
      <w:r>
        <w:rPr>
          <w:b/>
          <w:i w:val="0"/>
        </w:rPr>
        <w:t>Resultado:</w:t>
      </w:r>
      <w:r>
        <w:rPr>
          <w:b w:val="0"/>
          <w:i w:val="0"/>
        </w:rPr>
        <w:t xml:space="preserve"> 50 millones de access tokens reseteados y, precautoriamente, otros 40 millones: unas 90 millones de cuentas obligadas a volver a iniciar sesión.</w:t>
      </w:r>
    </w:p>
    <w:p>
      <w:r>
        <w:rPr>
          <w:b/>
          <w:i w:val="0"/>
        </w:rPr>
        <w:t>Fuente:</w:t>
      </w:r>
      <w:r>
        <w:rPr>
          <w:b w:val="0"/>
          <w:i w:val="0"/>
        </w:rPr>
        <w:t xml:space="preserve"> </w:t>
      </w:r>
      <w:hyperlink r:id="rId15">
        <w:r>
          <w:rPr>
            <w:color w:val="0563C1"/>
            <w:u w:val="single"/>
          </w:rPr>
          <w:t xml:space="preserve">actualización oficial de Meta</w:t>
        </w:r>
      </w:hyperlink>
      <w:r>
        <w:rPr>
          <w:b w:val="0"/>
          <w:i w:val="0"/>
        </w:rPr>
        <w:t xml:space="preserve"> · </w:t>
      </w:r>
      <w:hyperlink r:id="rId16">
        <w:r>
          <w:rPr>
            <w:color w:val="0563C1"/>
            <w:u w:val="single"/>
          </w:rPr>
          <w:t xml:space="preserve">análisis de KrebsOnSecurity</w:t>
        </w:r>
      </w:hyperlink>
      <w:r>
        <w:rPr>
          <w:b w:val="0"/>
          <w:i w:val="0"/>
        </w:rPr>
        <w:t>.</w:t>
      </w:r>
    </w:p>
    <w:p>
      <w:r>
        <w:rPr>
          <w:b/>
          <w:i w:val="0"/>
        </w:rPr>
        <w:t>Lección académica:</w:t>
      </w:r>
      <w:r>
        <w:rPr>
          <w:b w:val="0"/>
          <w:i w:val="0"/>
        </w:rPr>
        <w:t xml:space="preserve"> el token era perfectamente válido, estaba perfectamente firmado, y </w:t>
      </w:r>
      <w:r>
        <w:rPr>
          <w:b/>
          <w:i w:val="0"/>
        </w:rPr>
        <w:t>no debía existir para ese usuario</w:t>
      </w:r>
      <w:r>
        <w:rPr>
          <w:b w:val="0"/>
          <w:i w:val="0"/>
        </w:rPr>
        <w:t>. La validación criptográfica no cubre errores de emisión.</w:t>
      </w:r>
    </w:p>
    <w:p>
      <w:pPr>
        <w:pStyle w:val="Heading2"/>
      </w:pPr>
      <w:r>
        <w:t>5.2 Token robado y no revocado — Okta / Cloudflare, octubre de 2023</w:t>
      </w:r>
    </w:p>
    <w:p>
      <w:r>
        <w:rPr>
          <w:b/>
          <w:i w:val="0"/>
        </w:rPr>
        <w:t>Qué pasó:</w:t>
      </w:r>
      <w:r>
        <w:rPr>
          <w:b w:val="0"/>
          <w:i w:val="0"/>
        </w:rPr>
        <w:t xml:space="preserve"> en la brecha del sistema de soporte de Okta, un </w:t>
      </w:r>
      <w:r>
        <w:rPr>
          <w:b w:val="0"/>
          <w:i/>
        </w:rPr>
        <w:t>session token</w:t>
      </w:r>
      <w:r>
        <w:rPr>
          <w:b w:val="0"/>
          <w:i w:val="0"/>
        </w:rPr>
        <w:t xml:space="preserve"> que un empleado de Cloudflare había incluido en un ticket de soporte fue extraído. Cloudflare confirmó después que </w:t>
      </w:r>
      <w:r>
        <w:rPr>
          <w:b/>
          <w:i w:val="0"/>
        </w:rPr>
        <w:t>el atacante usó esa sesión</w:t>
      </w:r>
      <w:r>
        <w:rPr>
          <w:b w:val="0"/>
          <w:i w:val="0"/>
        </w:rPr>
        <w:t xml:space="preserve"> —con privilegios administrativos— para acceder a sus sistemas el 18 de octubre de 2023, y que la cadena se debió a que esos tokens no se rotaron ni revocaron tras el incidente inicial. </w:t>
      </w:r>
      <w:r>
        <w:rPr>
          <w:b/>
          <w:i w:val="0"/>
        </w:rPr>
        <w:t>No es la primera vez:</w:t>
      </w:r>
      <w:r>
        <w:rPr>
          <w:b w:val="0"/>
          <w:i w:val="0"/>
        </w:rPr>
        <w:t xml:space="preserve"> en enero de 2022 Okta ya había sufrido un incidente en el que quedó comprometido un proveedor de soporte; en ese caso Cloudflare </w:t>
      </w:r>
      <w:r>
        <w:rPr>
          <w:b/>
          <w:i w:val="0"/>
        </w:rPr>
        <w:t>no fue impactado</w:t>
      </w:r>
      <w:r>
        <w:rPr>
          <w:b w:val="0"/>
          <w:i w:val="0"/>
        </w:rPr>
        <w:t xml:space="preserve"> porque usaba </w:t>
      </w:r>
      <w:r>
        <w:rPr>
          <w:b/>
          <w:i w:val="0"/>
        </w:rPr>
        <w:t>llaves de hardware</w:t>
      </w:r>
      <w:r>
        <w:rPr>
          <w:b w:val="0"/>
          <w:i w:val="0"/>
        </w:rPr>
        <w:t xml:space="preserve"> para MFA.</w:t>
      </w:r>
    </w:p>
    <w:p>
      <w:r>
        <w:rPr>
          <w:b/>
          <w:i w:val="0"/>
        </w:rPr>
        <w:t>Fuente:</w:t>
      </w:r>
      <w:r>
        <w:rPr>
          <w:b w:val="0"/>
          <w:i w:val="0"/>
        </w:rPr>
        <w:t xml:space="preserve"> </w:t>
      </w:r>
      <w:hyperlink r:id="rId17">
        <w:r>
          <w:rPr>
            <w:color w:val="0563C1"/>
            <w:u w:val="single"/>
          </w:rPr>
          <w:t xml:space="preserve">blog de Cloudflare (2023)</w:t>
        </w:r>
      </w:hyperlink>
      <w:r>
        <w:rPr>
          <w:b w:val="0"/>
          <w:i w:val="0"/>
        </w:rPr>
        <w:t xml:space="preserve"> · </w:t>
      </w:r>
      <w:hyperlink r:id="rId18">
        <w:r>
          <w:rPr>
            <w:color w:val="0563C1"/>
            <w:u w:val="single"/>
          </w:rPr>
          <w:t xml:space="preserve">blog de Cloudflare sobre el incidente de 2022</w:t>
        </w:r>
      </w:hyperlink>
      <w:r>
        <w:rPr>
          <w:b w:val="0"/>
          <w:i w:val="0"/>
        </w:rPr>
        <w:t>.</w:t>
      </w:r>
    </w:p>
    <w:p>
      <w:r>
        <w:rPr>
          <w:b/>
          <w:i w:val="0"/>
        </w:rPr>
        <w:t>Lección académica:</w:t>
      </w:r>
      <w:r>
        <w:rPr>
          <w:b w:val="0"/>
          <w:i w:val="0"/>
        </w:rPr>
        <w:t xml:space="preserve"> un bearer robado tiene la vida que ustedes le hayan dado. </w:t>
      </w:r>
      <w:r>
        <w:rPr>
          <w:b/>
          <w:i w:val="0"/>
        </w:rPr>
        <w:t>La revocación y la rotación son parte de la seguridad del token, no un "nice to have"</w:t>
      </w:r>
      <w:r>
        <w:rPr>
          <w:b w:val="0"/>
          <w:i w:val="0"/>
        </w:rPr>
        <w:t xml:space="preserve"> (</w:t>
      </w:r>
      <w:hyperlink r:id="rId19">
        <w:r>
          <w:rPr>
            <w:color w:val="0563C1"/>
            <w:u w:val="single"/>
          </w:rPr>
          <w:t xml:space="preserve">RFC 7009, octubre de 2013</w:t>
        </w:r>
      </w:hyperlink>
      <w:r>
        <w:rPr>
          <w:b w:val="0"/>
          <w:i w:val="0"/>
        </w:rPr>
        <w:t>).</w:t>
      </w:r>
    </w:p>
    <w:p>
      <w:pPr>
        <w:pStyle w:val="Heading2"/>
      </w:pPr>
      <w:r>
        <w:t>5.3 El bearer que vive en la cadena de suministro — Codecov, 2021</w:t>
      </w:r>
    </w:p>
    <w:p>
      <w:r>
        <w:rPr>
          <w:b/>
          <w:i w:val="0"/>
        </w:rPr>
        <w:t>Qué pasó:</w:t>
      </w:r>
      <w:r>
        <w:rPr>
          <w:b w:val="0"/>
          <w:i w:val="0"/>
        </w:rPr>
        <w:t xml:space="preserve"> un atacante modificó el script </w:t>
      </w:r>
      <w:r>
        <w:rPr>
          <w:rFonts w:ascii="Consolas" w:hAnsi="Consolas"/>
          <w:b w:val="0"/>
          <w:i w:val="0"/>
          <w:color w:val="A03030"/>
        </w:rPr>
        <w:t>Bash Uploader</w:t>
      </w:r>
      <w:r>
        <w:rPr>
          <w:b w:val="0"/>
          <w:i w:val="0"/>
        </w:rPr>
        <w:t xml:space="preserve"> de Codecov —presente en su imagen de Docker— durante aproximadamente dos meses (desde fines de enero de 2021). La modificación añadía una línea que </w:t>
      </w:r>
      <w:r>
        <w:rPr>
          <w:b/>
          <w:i w:val="0"/>
        </w:rPr>
        <w:t>exportaba todas las variables de entorno del job de CI</w:t>
      </w:r>
      <w:r>
        <w:rPr>
          <w:b w:val="0"/>
          <w:i w:val="0"/>
        </w:rPr>
        <w:t xml:space="preserve"> a un servidor remoto. Quienes ejecutaban el script en su pipeline filtraban sus tokens, claves AWS, deploy keys y credenciales de Git.</w:t>
      </w:r>
    </w:p>
    <w:p>
      <w:r>
        <w:rPr>
          <w:b/>
          <w:i w:val="0"/>
        </w:rPr>
        <w:t>Fuente:</w:t>
      </w:r>
      <w:r>
        <w:rPr>
          <w:b w:val="0"/>
          <w:i w:val="0"/>
        </w:rPr>
        <w:t xml:space="preserve"> </w:t>
      </w:r>
      <w:hyperlink r:id="rId20">
        <w:r>
          <w:rPr>
            <w:color w:val="0563C1"/>
            <w:u w:val="single"/>
          </w:rPr>
          <w:t xml:space="preserve">post oficial de Codecov</w:t>
        </w:r>
      </w:hyperlink>
      <w:r>
        <w:rPr>
          <w:b w:val="0"/>
          <w:i w:val="0"/>
        </w:rPr>
        <w:t xml:space="preserve"> · </w:t>
      </w:r>
      <w:hyperlink r:id="rId21">
        <w:r>
          <w:rPr>
            <w:color w:val="0563C1"/>
            <w:u w:val="single"/>
          </w:rPr>
          <w:t xml:space="preserve">análisis de Rapid7</w:t>
        </w:r>
      </w:hyperlink>
      <w:r>
        <w:rPr>
          <w:b w:val="0"/>
          <w:i w:val="0"/>
        </w:rPr>
        <w:t>.</w:t>
      </w:r>
    </w:p>
    <w:p>
      <w:r>
        <w:rPr>
          <w:b/>
          <w:i w:val="0"/>
        </w:rPr>
        <w:t>Lección académica:</w:t>
      </w:r>
      <w:r>
        <w:rPr>
          <w:b w:val="0"/>
          <w:i w:val="0"/>
        </w:rPr>
        <w:t xml:space="preserve"> aquí </w:t>
      </w:r>
      <w:r>
        <w:rPr>
          <w:b/>
          <w:i w:val="0"/>
        </w:rPr>
        <w:t>no hay persona que autenticar con MFA</w:t>
      </w:r>
      <w:r>
        <w:rPr>
          <w:b w:val="0"/>
          <w:i w:val="0"/>
        </w:rPr>
        <w:t>. El token pertenece a un sistema, vive en una variable de entorno y no tiene "segundo factor" posible. Su única defensa es vida corta, rotación, mínimo privilegio y detección de fugas. Es el ejemplo perfecto para cerrar la distinción del Bloque 4.</w:t>
      </w:r>
    </w:p>
    <w:p>
      <w:pPr>
        <w:pStyle w:val="Heading2"/>
      </w:pPr>
      <w:r>
        <w:t>5.4 Los secretos eternos — datos de campo</w:t>
      </w:r>
    </w:p>
    <w:p>
      <w:r>
        <w:rPr>
          <w:b/>
          <w:i w:val="0"/>
        </w:rPr>
        <w:t>Qué dicen los datos:</w:t>
      </w:r>
      <w:r>
        <w:rPr>
          <w:b w:val="0"/>
          <w:i w:val="0"/>
        </w:rPr>
        <w:t xml:space="preserve"> </w:t>
      </w:r>
      <w:hyperlink r:id="rId22">
        <w:r>
          <w:rPr>
            <w:color w:val="0563C1"/>
            <w:u w:val="single"/>
          </w:rPr>
          <w:t xml:space="preserve">GitGuardian State of Secrets Sprawl 2026</w:t>
        </w:r>
      </w:hyperlink>
      <w:r>
        <w:rPr>
          <w:b w:val="0"/>
          <w:i w:val="0"/>
        </w:rPr>
        <w:t xml:space="preserve">: </w:t>
      </w:r>
      <w:r>
        <w:rPr>
          <w:b/>
          <w:i w:val="0"/>
        </w:rPr>
        <w:t>28,65 millones de secretos nuevos</w:t>
      </w:r>
      <w:r>
        <w:rPr>
          <w:b w:val="0"/>
          <w:i w:val="0"/>
        </w:rPr>
        <w:t xml:space="preserve"> en commits públicos de GitHub en 2025 (+34 % interanual, el mayor salto registrado); </w:t>
      </w:r>
      <w:r>
        <w:rPr>
          <w:b/>
          <w:i w:val="0"/>
        </w:rPr>
        <w:t>1,27 millones</w:t>
      </w:r>
      <w:r>
        <w:rPr>
          <w:b w:val="0"/>
          <w:i w:val="0"/>
        </w:rPr>
        <w:t xml:space="preserve"> de secretos sólo de servicios de IA; y más del </w:t>
      </w:r>
      <w:r>
        <w:rPr>
          <w:b/>
          <w:i w:val="0"/>
        </w:rPr>
        <w:t>60 % de los secretos válidos de 2022 seguían activos</w:t>
      </w:r>
      <w:r>
        <w:rPr>
          <w:b w:val="0"/>
          <w:i w:val="0"/>
        </w:rPr>
        <w:t xml:space="preserve"> años después.</w:t>
      </w:r>
    </w:p>
    <w:p>
      <w:r>
        <w:rPr>
          <w:b/>
          <w:i w:val="0"/>
        </w:rPr>
        <w:t>Lección académica:</w:t>
      </w:r>
      <w:r>
        <w:rPr>
          <w:b w:val="0"/>
          <w:i w:val="0"/>
        </w:rPr>
        <w:t xml:space="preserve"> el bearer más extendido del mundo —la API key hardcodeada— no tiene </w:t>
      </w:r>
      <w:r>
        <w:rPr>
          <w:rFonts w:ascii="Consolas" w:hAnsi="Consolas"/>
          <w:b w:val="0"/>
          <w:i w:val="0"/>
          <w:color w:val="A03030"/>
        </w:rPr>
        <w:t>exp</w:t>
      </w:r>
      <w:r>
        <w:rPr>
          <w:b w:val="0"/>
          <w:i w:val="0"/>
        </w:rPr>
        <w:t xml:space="preserve">. </w:t>
      </w:r>
      <w:r>
        <w:rPr>
          <w:b/>
          <w:i w:val="0"/>
        </w:rPr>
        <w:t>La ausencia de expiración es, en sí misma, una vulnerabilidad de diseño.</w:t>
      </w:r>
    </w:p>
    <w:p>
      <w:pPr>
        <w:pStyle w:val="Heading2"/>
      </w:pPr>
      <w:r>
        <w:t>5.5 La MFA no sobrevive al robo de la sesión — Uber, septiembre de 2022</w:t>
      </w:r>
    </w:p>
    <w:p>
      <w:r>
        <w:rPr>
          <w:b/>
          <w:i w:val="0"/>
        </w:rPr>
        <w:t>Qué pasó:</w:t>
      </w:r>
      <w:r>
        <w:rPr>
          <w:b w:val="0"/>
          <w:i w:val="0"/>
        </w:rPr>
        <w:t xml:space="preserve"> credenciales de un contratista externo aparecieron en un mercado de la dark web; el atacante las usó, se topó con MFA, y resolvió la situación enviándole al empleado un SMS suplantando al equipo de IT, hasta obtener la aprobación del prompt. Después, acceso a las consolas internas (AWS, G Suite, etc.).</w:t>
      </w:r>
    </w:p>
    <w:p>
      <w:r>
        <w:rPr>
          <w:b/>
          <w:i w:val="0"/>
        </w:rPr>
        <w:t>Fuentes:</w:t>
      </w:r>
      <w:r>
        <w:rPr>
          <w:b w:val="0"/>
          <w:i w:val="0"/>
        </w:rPr>
        <w:t xml:space="preserve"> </w:t>
      </w:r>
      <w:hyperlink r:id="rId13">
        <w:r>
          <w:rPr>
            <w:color w:val="0563C1"/>
            <w:u w:val="single"/>
          </w:rPr>
          <w:t xml:space="preserve">NYT</w:t>
        </w:r>
      </w:hyperlink>
      <w:r>
        <w:rPr>
          <w:b w:val="0"/>
          <w:i w:val="0"/>
        </w:rPr>
        <w:t xml:space="preserve"> · </w:t>
      </w:r>
      <w:hyperlink r:id="rId14">
        <w:r>
          <w:rPr>
            <w:color w:val="0563C1"/>
            <w:u w:val="single"/>
          </w:rPr>
          <w:t xml:space="preserve">UpGuard</w:t>
        </w:r>
      </w:hyperlink>
      <w:r>
        <w:rPr>
          <w:b w:val="0"/>
          <w:i w:val="0"/>
        </w:rPr>
        <w:t>.</w:t>
      </w:r>
    </w:p>
    <w:p>
      <w:r>
        <w:rPr>
          <w:b/>
          <w:i w:val="0"/>
        </w:rPr>
        <w:t>Lección académica:</w:t>
      </w:r>
      <w:r>
        <w:rPr>
          <w:b w:val="0"/>
          <w:i w:val="0"/>
        </w:rPr>
        <w:t xml:space="preserve"> ver 4.5. </w:t>
      </w:r>
      <w:r>
        <w:rPr>
          <w:b/>
          <w:i w:val="0"/>
        </w:rPr>
        <w:t>La MFA protege el instante de la emisión; el artefacto emitido se reutiliza sin MFA.</w:t>
      </w:r>
      <w:r>
        <w:rPr>
          <w:b w:val="0"/>
          <w:i w:val="0"/>
        </w:rPr>
        <w:t xml:space="preserve"> Y el ataque ni siquiera fue técnico: fue social, contra el humano que aprobaba el factor.</w:t>
      </w:r>
    </w:p>
    <w:p>
      <w:r>
        <w:rPr>
          <w:b w:val="0"/>
          <w:i/>
        </w:rPr>
        <w:t>Nota de tono:</w:t>
      </w:r>
      <w:r>
        <w:rPr>
          <w:b w:val="0"/>
          <w:i w:val="0"/>
        </w:rPr>
        <w:t xml:space="preserve"> aquí enfatizá que este caso </w:t>
      </w:r>
      <w:r>
        <w:rPr>
          <w:b/>
          <w:i w:val="0"/>
        </w:rPr>
        <w:t>no</w:t>
      </w:r>
      <w:r>
        <w:rPr>
          <w:b w:val="0"/>
          <w:i w:val="0"/>
        </w:rPr>
        <w:t xml:space="preserve"> es "la MFA falló". Es "la MFA hizo lo que puede hacer, que es proteger un momento; el modelo la trata como si protegiera eternamente".</w:t>
      </w:r>
    </w:p>
    <w:p>
      <w:pPr>
        <w:pStyle w:val="Heading2"/>
      </w:pPr>
      <w:r>
        <w:t>5.6 Token válido, autorización ausente — BOLA</w:t>
      </w:r>
    </w:p>
    <w:p>
      <w:r>
        <w:rPr>
          <w:b/>
          <w:i w:val="0"/>
        </w:rPr>
        <w:t>Qué es:</w:t>
      </w:r>
      <w:r>
        <w:rPr>
          <w:b w:val="0"/>
          <w:i w:val="0"/>
        </w:rPr>
        <w:t xml:space="preserve"> el atacante presenta su propio token —válido, auténtico, con MFA si quieren— y cambia el identificador del objeto en la URL: </w:t>
      </w:r>
      <w:r>
        <w:rPr>
          <w:rFonts w:ascii="Consolas" w:hAnsi="Consolas"/>
          <w:b w:val="0"/>
          <w:i w:val="0"/>
          <w:color w:val="A03030"/>
        </w:rPr>
        <w:t>/api/pedidos/1234</w:t>
      </w:r>
      <w:r>
        <w:rPr>
          <w:b w:val="0"/>
          <w:i w:val="0"/>
        </w:rPr>
        <w:t xml:space="preserve"> → </w:t>
      </w:r>
      <w:r>
        <w:rPr>
          <w:rFonts w:ascii="Consolas" w:hAnsi="Consolas"/>
          <w:b w:val="0"/>
          <w:i w:val="0"/>
          <w:color w:val="A03030"/>
        </w:rPr>
        <w:t>/api/pedidos/5678</w:t>
      </w:r>
      <w:r>
        <w:rPr>
          <w:b w:val="0"/>
          <w:i w:val="0"/>
        </w:rPr>
        <w:t>. Y funciona.</w:t>
      </w:r>
    </w:p>
    <w:p>
      <w:r>
        <w:rPr>
          <w:b/>
          <w:i w:val="0"/>
        </w:rPr>
        <w:t>Primera aparición del término: OWASP API Security Top 10, edición 2019 (Api1: Broken Object Level Authorization); sigue en primera posición en la [edición 2023](https://owasp.org/API-Security/editions/2023/en/0x11-t10/).</w:t>
      </w:r>
    </w:p>
    <w:p>
      <w:r>
        <w:rPr>
          <w:b/>
          <w:i w:val="0"/>
        </w:rPr>
        <w:t>Datos de campo:</w:t>
      </w:r>
      <w:r>
        <w:rPr>
          <w:b w:val="0"/>
          <w:i w:val="0"/>
        </w:rPr>
        <w:t xml:space="preserve"> se estima que </w:t>
      </w:r>
      <w:r>
        <w:rPr>
          <w:b/>
          <w:i w:val="0"/>
        </w:rPr>
        <w:t>en torno al 40 % de los ataques a APIs</w:t>
      </w:r>
      <w:r>
        <w:rPr>
          <w:b w:val="0"/>
          <w:i w:val="0"/>
        </w:rPr>
        <w:t xml:space="preserve"> involucran BOLA (</w:t>
      </w:r>
      <w:hyperlink r:id="rId23">
        <w:r>
          <w:rPr>
            <w:color w:val="0563C1"/>
            <w:u w:val="single"/>
          </w:rPr>
          <w:t xml:space="preserve">Salt Security</w:t>
        </w:r>
      </w:hyperlink>
      <w:r>
        <w:rPr>
          <w:b w:val="0"/>
          <w:i w:val="0"/>
        </w:rPr>
        <w:t>).</w:t>
      </w:r>
    </w:p>
    <w:p>
      <w:r>
        <w:rPr>
          <w:b/>
          <w:i w:val="0"/>
        </w:rPr>
        <w:t>Lección académica:</w:t>
      </w:r>
      <w:r>
        <w:rPr>
          <w:b w:val="0"/>
          <w:i w:val="0"/>
        </w:rPr>
        <w:t xml:space="preserve"> </w:t>
      </w:r>
      <w:r>
        <w:rPr>
          <w:b/>
          <w:i w:val="0"/>
        </w:rPr>
        <w:t>es el mejor argumento posible de la charla.</w:t>
      </w:r>
      <w:r>
        <w:rPr>
          <w:b w:val="0"/>
          <w:i w:val="0"/>
        </w:rPr>
        <w:t xml:space="preserve"> Un bearer token —incluso un bearer token perfecto con DPoP y mTLS— </w:t>
      </w:r>
      <w:r>
        <w:rPr>
          <w:b/>
          <w:i w:val="0"/>
        </w:rPr>
        <w:t>no autoriza objetos</w:t>
      </w:r>
      <w:r>
        <w:rPr>
          <w:b w:val="0"/>
          <w:i w:val="0"/>
        </w:rPr>
        <w:t>. La autorización a nivel de objeto es una capa distinta, y es donde vive el fallo API1. Si tu charla tuviera un solo takeaway técnico, sería éste.</w:t>
      </w:r>
    </w:p>
    <w:p>
      <w:pPr>
        <w:pStyle w:val="Heading2"/>
      </w:pPr>
      <w:r>
        <w:t>5.7 Implementación defectuosa de JWT — las clases, no los vendors</w:t>
      </w:r>
    </w:p>
    <w:p>
      <w:r>
        <w:rPr>
          <w:b w:val="0"/>
          <w:i w:val="0"/>
        </w:rPr>
        <w:t xml:space="preserve">Como el objetivo es observar sin señalar, este punto se plantea como </w:t>
      </w:r>
      <w:r>
        <w:rPr>
          <w:b/>
          <w:i w:val="0"/>
        </w:rPr>
        <w:t>clases de atque</w:t>
      </w:r>
      <w:r>
        <w:rPr>
          <w:b w:val="0"/>
          <w:i w:val="0"/>
        </w:rPr>
        <w:t xml:space="preserve"> con fuentes neutras:</w:t>
      </w:r>
    </w:p>
    <w:p>
      <w:pPr>
        <w:pStyle w:val="ListBullet"/>
      </w:pPr>
      <w:r>
        <w:rPr>
          <w:b/>
          <w:i w:val="0"/>
        </w:rPr>
        <w:t>`alg: none`</w:t>
      </w:r>
      <w:r>
        <w:rPr>
          <w:b w:val="0"/>
          <w:i w:val="0"/>
        </w:rPr>
        <w:t xml:space="preserve"> — el atacante reescribe el header para eliminar la firma; si el validador confía en el claim </w:t>
      </w:r>
      <w:r>
        <w:rPr>
          <w:rFonts w:ascii="Consolas" w:hAnsi="Consolas"/>
          <w:b w:val="0"/>
          <w:i w:val="0"/>
          <w:color w:val="A03030"/>
        </w:rPr>
        <w:t>alg</w:t>
      </w:r>
      <w:r>
        <w:rPr>
          <w:b w:val="0"/>
          <w:i w:val="0"/>
        </w:rPr>
        <w:t>, acepta el token.</w:t>
      </w:r>
    </w:p>
    <w:p>
      <w:pPr>
        <w:pStyle w:val="ListBullet"/>
      </w:pPr>
      <w:r>
        <w:rPr>
          <w:b/>
          <w:i w:val="0"/>
        </w:rPr>
        <w:t>Confusión de algoritmos RS256 → HS256</w:t>
      </w:r>
      <w:r>
        <w:rPr>
          <w:b w:val="0"/>
          <w:i w:val="0"/>
        </w:rPr>
        <w:t xml:space="preserve"> — el validador, en vez de verificar con la clave pública, usa la clave pública como secreto HMAC, que está... publicada.</w:t>
      </w:r>
    </w:p>
    <w:p>
      <w:pPr>
        <w:pStyle w:val="ListBullet"/>
      </w:pPr>
      <w:r>
        <w:rPr>
          <w:b/>
          <w:i w:val="0"/>
        </w:rPr>
        <w:t>Inyección de `kid`</w:t>
      </w:r>
      <w:r>
        <w:rPr>
          <w:b w:val="0"/>
          <w:i w:val="0"/>
        </w:rPr>
        <w:t xml:space="preserve"> — el validador elige la clave de verificación según el </w:t>
      </w:r>
      <w:r>
        <w:rPr>
          <w:rFonts w:ascii="Consolas" w:hAnsi="Consolas"/>
          <w:b w:val="0"/>
          <w:i w:val="0"/>
          <w:color w:val="A03030"/>
        </w:rPr>
        <w:t>kid</w:t>
      </w:r>
      <w:r>
        <w:rPr>
          <w:b w:val="0"/>
          <w:i w:val="0"/>
        </w:rPr>
        <w:t xml:space="preserve"> que trae el token.</w:t>
      </w:r>
    </w:p>
    <w:p>
      <w:pPr>
        <w:pStyle w:val="ListBullet"/>
      </w:pPr>
      <w:r>
        <w:rPr>
          <w:b/>
          <w:i w:val="0"/>
        </w:rPr>
        <w:t>Otra clave de vida de `exp` ausente o con tolerancias gigantes.</w:t>
      </w:r>
    </w:p>
    <w:p>
      <w:r>
        <w:rPr>
          <w:b/>
          <w:i w:val="0"/>
        </w:rPr>
        <w:t>Fuentes neutras:</w:t>
      </w:r>
      <w:r>
        <w:rPr>
          <w:b w:val="0"/>
          <w:i w:val="0"/>
        </w:rPr>
        <w:t xml:space="preserve"> </w:t>
      </w:r>
      <w:hyperlink r:id="rId24">
        <w:r>
          <w:rPr>
            <w:color w:val="0563C1"/>
            <w:u w:val="single"/>
          </w:rPr>
          <w:t xml:space="preserve">RFC 8725 (JWT BCP), febrero de 2020</w:t>
        </w:r>
      </w:hyperlink>
      <w:r>
        <w:rPr>
          <w:b w:val="0"/>
          <w:i w:val="0"/>
        </w:rPr>
        <w:t xml:space="preserve"> · </w:t>
      </w:r>
      <w:hyperlink r:id="rId10">
        <w:r>
          <w:rPr>
            <w:color w:val="0563C1"/>
            <w:u w:val="single"/>
          </w:rPr>
          <w:t xml:space="preserve">OWASP JWT Cheat Sheet</w:t>
        </w:r>
      </w:hyperlink>
      <w:r>
        <w:rPr>
          <w:b w:val="0"/>
          <w:i w:val="0"/>
        </w:rPr>
        <w:t xml:space="preserve"> · </w:t>
      </w:r>
      <w:hyperlink r:id="rId25">
        <w:r>
          <w:rPr>
            <w:color w:val="0563C1"/>
            <w:u w:val="single"/>
          </w:rPr>
          <w:t xml:space="preserve">PortSwigger Web Security Academy – JWT</w:t>
        </w:r>
      </w:hyperlink>
      <w:r>
        <w:rPr>
          <w:b w:val="0"/>
          <w:i w:val="0"/>
        </w:rPr>
        <w:t>.</w:t>
      </w:r>
    </w:p>
    <w:p>
      <w:r>
        <w:rPr>
          <w:b/>
          <w:i w:val="0"/>
        </w:rPr>
        <w:t>Lección académica:</w:t>
      </w:r>
      <w:r>
        <w:rPr>
          <w:b w:val="0"/>
          <w:i w:val="0"/>
        </w:rPr>
        <w:t xml:space="preserve"> estos fallos no son del token; son de </w:t>
      </w:r>
      <w:r>
        <w:rPr>
          <w:b/>
          <w:i w:val="0"/>
        </w:rPr>
        <w:t>quien confía en el contenido que trae el token para decidir cómo verificarlo</w:t>
      </w:r>
      <w:r>
        <w:rPr>
          <w:b w:val="0"/>
          <w:i w:val="0"/>
        </w:rPr>
        <w:t xml:space="preserve">. La regla: </w:t>
      </w:r>
      <w:r>
        <w:rPr>
          <w:b w:val="0"/>
          <w:i/>
        </w:rPr>
        <w:t>la política de verificación sale de la configuración, no del mensaje.</w:t>
      </w:r>
    </w:p>
    <w:p>
      <w:pPr>
        <w:pStyle w:val="Heading2"/>
      </w:pPr>
      <w:r>
        <w:t>5.8 Síntesis del bloque</w:t>
      </w:r>
    </w:p>
    <w:p>
      <w:r>
        <w:rPr>
          <w:b w:val="0"/>
          <w:i/>
        </w:rPr>
        <w:t>Slide: los seis casos en una columna, y en la otra la misma respuesta.</w:t>
      </w:r>
    </w:p>
    <w:p>
      <w:r>
        <w:rPr>
          <w:b w:val="0"/>
          <w:i w:val="0"/>
        </w:rPr>
        <w:t xml:space="preserve">Todos distintos, y el patrón es idéntico: </w:t>
      </w:r>
      <w:r>
        <w:rPr>
          <w:b/>
          <w:i w:val="0"/>
        </w:rPr>
        <w:t>el token se comportó como fue diseñado.</w:t>
      </w:r>
      <w:r>
        <w:rPr>
          <w:b w:val="0"/>
          <w:i w:val="0"/>
        </w:rPr>
        <w:t xml:space="preserve"> Facebook: se generó mal. Okta/Cloudflare: no se revocó. Codecov: vivía donde podía fugarse. Uber: se reutilizó después de la MFA. BOLA: se validó bien, pero la autorización era de otro nivel. JWT: se verificó con una política dictada por el mensaje.</w:t>
      </w:r>
    </w:p>
    <w:p>
      <w:r>
        <w:rPr>
          <w:b w:val="0"/>
          <w:i/>
        </w:rPr>
        <w:t>Frase de cierre del bloque:</w:t>
      </w:r>
      <w:r>
        <w:rPr>
          <w:b w:val="0"/>
          <w:i w:val="0"/>
        </w:rPr>
        <w:t xml:space="preserve"> </w:t>
      </w:r>
      <w:r>
        <w:rPr>
          <w:b w:val="0"/>
          <w:i/>
        </w:rPr>
        <w:t>"La seguridad no está en el string. Está en cómo se emite, dónde se guarda, cuánto vive, cómo se revoca y qué se hace después de aceptarlo."</w:t>
      </w:r>
    </w:p>
    <w:p>
      <w:r>
        <w:br w:type="page"/>
      </w:r>
    </w:p>
    <w:p>
      <w:pPr>
        <w:pStyle w:val="Heading1"/>
      </w:pPr>
      <w:r>
        <w:t>BLOQUE 6 — Más allá del bearer: hacia dónde va todo (≈7 min)</w:t>
      </w:r>
    </w:p>
    <w:p>
      <w:pPr>
        <w:pStyle w:val="Heading2"/>
      </w:pPr>
      <w:r>
        <w:t>6.1 Sender-constrained tokens: atar el token a su portador</w:t>
      </w:r>
    </w:p>
    <w:p>
      <w:r>
        <w:rPr>
          <w:b w:val="0"/>
          <w:i w:val="0"/>
        </w:rPr>
        <w:t xml:space="preserve">Si el problema del bearer es que cualquiera que lo tenga puede usarlo, la solución lógica es </w:t>
      </w:r>
      <w:r>
        <w:rPr>
          <w:b/>
          <w:i w:val="0"/>
        </w:rPr>
        <w:t>exigir algo más que la posesión</w:t>
      </w:r>
      <w:r>
        <w:rPr>
          <w:b w:val="0"/>
          <w:i w:val="0"/>
        </w:rPr>
        <w:t xml:space="preserve">. A eso se le llama </w:t>
      </w:r>
      <w:r>
        <w:rPr>
          <w:b w:val="0"/>
          <w:i/>
        </w:rPr>
        <w:t>token atado al emisor</w:t>
      </w:r>
      <w:r>
        <w:rPr>
          <w:b w:val="0"/>
          <w:i w:val="0"/>
        </w:rPr>
        <w:t xml:space="preserve"> (</w:t>
      </w:r>
      <w:r>
        <w:rPr>
          <w:b/>
          <w:i w:val="0"/>
        </w:rPr>
        <w:t>sender-constrained token</w:t>
      </w:r>
      <w:r>
        <w:rPr>
          <w:b w:val="0"/>
          <w:i w:val="0"/>
        </w:rPr>
        <w:t>), y hay dos caminos normalizados:</w:t>
      </w:r>
    </w:p>
    <w:p>
      <w:pPr>
        <w:pStyle w:val="ListBullet"/>
      </w:pPr>
      <w:r>
        <w:rPr>
          <w:b/>
          <w:i w:val="0"/>
        </w:rPr>
        <w:t>mTLS + token atado al certificado</w:t>
      </w:r>
      <w:r>
        <w:rPr>
          <w:b w:val="0"/>
          <w:i w:val="0"/>
        </w:rPr>
        <w:t xml:space="preserve"> — </w:t>
      </w:r>
      <w:r>
        <w:rPr>
          <w:b/>
          <w:i w:val="0"/>
        </w:rPr>
        <w:t>RFC 8705, febrero de 2020</w:t>
      </w:r>
      <w:r>
        <w:rPr>
          <w:b w:val="0"/>
          <w:i w:val="0"/>
        </w:rPr>
        <w:t>: el access token queda ligado al hash del certificado TLS del cliente. Robás el token, pero no podés presentarlo sin el par de claves del certificado.</w:t>
      </w:r>
    </w:p>
    <w:p>
      <w:pPr>
        <w:pStyle w:val="ListBullet"/>
      </w:pPr>
      <w:r>
        <w:rPr>
          <w:b/>
          <w:i w:val="0"/>
        </w:rPr>
        <w:t>DPoP (Demonstrating Proof of Possession)</w:t>
      </w:r>
      <w:r>
        <w:rPr>
          <w:b w:val="0"/>
          <w:i w:val="0"/>
        </w:rPr>
        <w:t xml:space="preserve"> — </w:t>
      </w:r>
      <w:r>
        <w:rPr>
          <w:b/>
          <w:i w:val="0"/>
        </w:rPr>
        <w:t>RFC 9449, octubre de 2023</w:t>
      </w:r>
      <w:r>
        <w:rPr>
          <w:b w:val="0"/>
          <w:i w:val="0"/>
        </w:rPr>
        <w:t xml:space="preserve">: el cliente genera una firma por request con su clave privada y un </w:t>
      </w:r>
      <w:r>
        <w:rPr>
          <w:rFonts w:ascii="Consolas" w:hAnsi="Consolas"/>
          <w:b w:val="0"/>
          <w:i w:val="0"/>
          <w:color w:val="A03030"/>
        </w:rPr>
        <w:t>jti</w:t>
      </w:r>
      <w:r>
        <w:rPr>
          <w:b w:val="0"/>
          <w:i w:val="0"/>
        </w:rPr>
        <w:t>/</w:t>
      </w:r>
      <w:r>
        <w:rPr>
          <w:rFonts w:ascii="Consolas" w:hAnsi="Consolas"/>
          <w:b w:val="0"/>
          <w:i w:val="0"/>
          <w:color w:val="A03030"/>
        </w:rPr>
        <w:t>htm</w:t>
      </w:r>
      <w:r>
        <w:rPr>
          <w:b w:val="0"/>
          <w:i w:val="0"/>
        </w:rPr>
        <w:t>/</w:t>
      </w:r>
      <w:r>
        <w:rPr>
          <w:rFonts w:ascii="Consolas" w:hAnsi="Consolas"/>
          <w:b w:val="0"/>
          <w:i w:val="0"/>
          <w:color w:val="A03030"/>
        </w:rPr>
        <w:t>htu</w:t>
      </w:r>
      <w:r>
        <w:rPr>
          <w:b w:val="0"/>
          <w:i w:val="0"/>
        </w:rPr>
        <w:t>/</w:t>
      </w:r>
      <w:r>
        <w:rPr>
          <w:rFonts w:ascii="Consolas" w:hAnsi="Consolas"/>
          <w:b w:val="0"/>
          <w:i w:val="0"/>
          <w:color w:val="A03030"/>
        </w:rPr>
        <w:t>nonce</w:t>
      </w:r>
      <w:r>
        <w:rPr>
          <w:b w:val="0"/>
          <w:i w:val="0"/>
        </w:rPr>
        <w:t xml:space="preserve"> que impide replay. No necesita PKI: es DPoP sobre cualquier transporte.</w:t>
      </w:r>
    </w:p>
    <w:p>
      <w:r>
        <w:rPr>
          <w:b w:val="0"/>
          <w:i w:val="0"/>
        </w:rPr>
        <w:t xml:space="preserve">Y la recomendación ya no es optativa: </w:t>
      </w:r>
      <w:r>
        <w:rPr>
          <w:b/>
          <w:i w:val="0"/>
        </w:rPr>
        <w:t>[RFC 9700, "Best Current Practice for OAuth 2.0 Security", enero de 2025](https://www.rfc-editor.org/rfc/rfc9700)</w:t>
      </w:r>
      <w:r>
        <w:rPr>
          <w:b w:val="0"/>
          <w:i w:val="0"/>
        </w:rPr>
        <w:t xml:space="preserve"> —que reemplazó a </w:t>
      </w:r>
      <w:hyperlink r:id="rId26">
        <w:r>
          <w:rPr>
            <w:color w:val="0563C1"/>
            <w:u w:val="single"/>
          </w:rPr>
          <w:t xml:space="preserve">RFC 6819 (2013)</w:t>
        </w:r>
      </w:hyperlink>
      <w:r>
        <w:rPr>
          <w:b w:val="0"/>
          <w:i w:val="0"/>
        </w:rPr>
        <w:t xml:space="preserve">— recomienda explícitamente usar tokens </w:t>
      </w:r>
      <w:r>
        <w:rPr>
          <w:b w:val="0"/>
          <w:i/>
        </w:rPr>
        <w:t>sender-constrained</w:t>
      </w:r>
      <w:r>
        <w:rPr>
          <w:b w:val="0"/>
          <w:i w:val="0"/>
        </w:rPr>
        <w:t xml:space="preserve"> (DPoP o mTLS) donde sea posible, además de eliminar el </w:t>
      </w:r>
      <w:r>
        <w:rPr>
          <w:b w:val="0"/>
          <w:i/>
        </w:rPr>
        <w:t>implicit grant</w:t>
      </w:r>
      <w:r>
        <w:rPr>
          <w:b w:val="0"/>
          <w:i w:val="0"/>
        </w:rPr>
        <w:t xml:space="preserve">, eliminar el </w:t>
      </w:r>
      <w:r>
        <w:rPr>
          <w:b w:val="0"/>
          <w:i/>
        </w:rPr>
        <w:t>password grant</w:t>
      </w:r>
      <w:r>
        <w:rPr>
          <w:b w:val="0"/>
          <w:i w:val="0"/>
        </w:rPr>
        <w:t xml:space="preserve"> y exigir PKCE en todos los flujos de código de autorización.</w:t>
      </w:r>
    </w:p>
    <w:p>
      <w:r>
        <w:rPr>
          <w:b w:val="0"/>
          <w:i/>
        </w:rPr>
        <w:t>Cita hablada sugerida:</w:t>
      </w:r>
      <w:r>
        <w:rPr>
          <w:b w:val="0"/>
          <w:i w:val="0"/>
        </w:rPr>
        <w:t xml:space="preserve"> "El IETF tardó trece años en pasarse de 'confiamos en el que lo tenga' a 'mostremos que somos nosotros'. Es una evolución, no una revolución —y eso está bien: los ecosistemas no se cambian de un día para el otro."</w:t>
      </w:r>
    </w:p>
    <w:p>
      <w:pPr>
        <w:pStyle w:val="Heading2"/>
      </w:pPr>
      <w:r>
        <w:t>6.2 Los intentos previos: Token Binding</w:t>
      </w:r>
    </w:p>
    <w:p>
      <w:r>
        <w:rPr>
          <w:b/>
          <w:i w:val="0"/>
        </w:rPr>
        <w:t>Primera aparición: RFC 8471, 8472 y 8473, octubre de 2018.</w:t>
      </w:r>
      <w:r>
        <w:rPr>
          <w:b w:val="0"/>
          <w:i w:val="0"/>
        </w:rPr>
        <w:t xml:space="preserve"> El protocolo de Token Binding ataba el token al canal TLS. Los navegadores retiraron el soporte y el mecanismo no llegó a adopción práctica. Es una buena anécdota académica: </w:t>
      </w:r>
      <w:r>
        <w:rPr>
          <w:b/>
          <w:i w:val="0"/>
        </w:rPr>
        <w:t>atar un token a su portador es un problema sociotécnico, no sólo criptográfico —depende de que toda la cadena (navegadores, servidores, proxies) lo soporte.</w:t>
      </w:r>
    </w:p>
    <w:p>
      <w:pPr>
        <w:pStyle w:val="Heading2"/>
      </w:pPr>
      <w:r>
        <w:t>6.3 OAuth 2.1 (borrador en curso)</w:t>
      </w:r>
    </w:p>
    <w:p>
      <w:r>
        <w:rPr>
          <w:b w:val="0"/>
          <w:i w:val="0"/>
        </w:rPr>
        <w:t xml:space="preserve">El borrador de OAuth 2.1 consolida las lecciones: sin </w:t>
      </w:r>
      <w:r>
        <w:rPr>
          <w:b w:val="0"/>
          <w:i/>
        </w:rPr>
        <w:t>implicit grant</w:t>
      </w:r>
      <w:r>
        <w:rPr>
          <w:b w:val="0"/>
          <w:i w:val="0"/>
        </w:rPr>
        <w:t xml:space="preserve">, sin </w:t>
      </w:r>
      <w:r>
        <w:rPr>
          <w:b w:val="0"/>
          <w:i/>
        </w:rPr>
        <w:t>password grant</w:t>
      </w:r>
      <w:r>
        <w:rPr>
          <w:b w:val="0"/>
          <w:i w:val="0"/>
        </w:rPr>
        <w:t xml:space="preserve">, </w:t>
      </w:r>
      <w:r>
        <w:rPr>
          <w:b/>
          <w:i w:val="0"/>
        </w:rPr>
        <w:t>sin bearer en query string</w:t>
      </w:r>
      <w:r>
        <w:rPr>
          <w:b w:val="0"/>
          <w:i w:val="0"/>
        </w:rPr>
        <w:t xml:space="preserve">, PKCE obligatorio, rotación de refresh tokens. </w:t>
      </w:r>
      <w:r>
        <w:rPr>
          <w:b/>
          <w:i w:val="0"/>
        </w:rPr>
        <w:t>Primera aparición: borrador del grupo de trabajo OAuth de la IETF, a partir de 2022.</w:t>
      </w:r>
    </w:p>
    <w:p>
      <w:pPr>
        <w:pStyle w:val="Heading2"/>
      </w:pPr>
      <w:r>
        <w:t>6.4 En el lado de la emisión: passkeys</w:t>
      </w:r>
    </w:p>
    <w:p>
      <w:r>
        <w:rPr>
          <w:b w:val="0"/>
          <w:i w:val="0"/>
        </w:rPr>
        <w:t xml:space="preserve">Si la MFA protege el instante de la emisión, </w:t>
      </w:r>
      <w:r>
        <w:rPr>
          <w:b/>
          <w:i w:val="0"/>
        </w:rPr>
        <w:t>la mejor mejora posible es fortalecer la emisión</w:t>
      </w:r>
      <w:r>
        <w:rPr>
          <w:b w:val="0"/>
          <w:i w:val="0"/>
        </w:rPr>
        <w:t>: passkeys/WebAuthn (</w:t>
      </w:r>
      <w:r>
        <w:rPr>
          <w:b/>
          <w:i w:val="0"/>
        </w:rPr>
        <w:t>W3C Recommendation, marzo de 2019</w:t>
      </w:r>
      <w:r>
        <w:rPr>
          <w:b w:val="0"/>
          <w:i w:val="0"/>
        </w:rPr>
        <w:t xml:space="preserve">) como factor primario, alineado con </w:t>
      </w:r>
      <w:r>
        <w:rPr>
          <w:b/>
          <w:i w:val="0"/>
        </w:rPr>
        <w:t>NIST SP 800-63-4 (julio de 2025)</w:t>
      </w:r>
      <w:r>
        <w:rPr>
          <w:b w:val="0"/>
          <w:i w:val="0"/>
        </w:rPr>
        <w:t>.</w:t>
      </w:r>
    </w:p>
    <w:p>
      <w:pPr>
        <w:pStyle w:val="Heading2"/>
      </w:pPr>
      <w:r>
        <w:t>6.5 Alrededor del token: el trabajo que la norma no hizo</w:t>
      </w:r>
    </w:p>
    <w:p>
      <w:r>
        <w:rPr>
          <w:b w:val="0"/>
          <w:i w:val="0"/>
        </w:rPr>
        <w:t xml:space="preserve">La charla debe cerrar esta sección con la idea de que </w:t>
      </w:r>
      <w:r>
        <w:rPr>
          <w:b/>
          <w:i w:val="0"/>
        </w:rPr>
        <w:t>el token es sólo una pieza</w:t>
      </w:r>
      <w:r>
        <w:rPr>
          <w:b w:val="0"/>
          <w:i w:val="0"/>
        </w:rPr>
        <w:t>, y que la seguridad del sistema se construye alrededor:</w:t>
      </w:r>
    </w:p>
    <w:p>
      <w:pPr>
        <w:pStyle w:val="ListBullet"/>
      </w:pPr>
      <w:r>
        <w:rPr>
          <w:b/>
          <w:i w:val="0"/>
        </w:rPr>
        <w:t>Mínimo privilegio</w:t>
      </w:r>
      <w:r>
        <w:rPr>
          <w:b w:val="0"/>
          <w:i w:val="0"/>
        </w:rPr>
        <w:t xml:space="preserve"> (scopes y audiencia estricta).</w:t>
      </w:r>
    </w:p>
    <w:p>
      <w:pPr>
        <w:pStyle w:val="ListBullet"/>
      </w:pPr>
      <w:r>
        <w:rPr>
          <w:b/>
          <w:i w:val="0"/>
        </w:rPr>
        <w:t>Vida corta + rotación</w:t>
      </w:r>
      <w:r>
        <w:rPr>
          <w:b w:val="0"/>
          <w:i w:val="0"/>
        </w:rPr>
        <w:t xml:space="preserve"> (refresh rotation: RFC 6749 §10.4 → obligatoria en RFC 9700).</w:t>
      </w:r>
    </w:p>
    <w:p>
      <w:pPr>
        <w:pStyle w:val="ListBullet"/>
      </w:pPr>
      <w:r>
        <w:rPr>
          <w:b/>
          <w:i w:val="0"/>
        </w:rPr>
        <w:t>Revocación</w:t>
      </w:r>
      <w:r>
        <w:rPr>
          <w:b w:val="0"/>
          <w:i w:val="0"/>
        </w:rPr>
        <w:t xml:space="preserve"> (RFC 7009) y </w:t>
      </w:r>
      <w:r>
        <w:rPr>
          <w:b/>
          <w:i w:val="0"/>
        </w:rPr>
        <w:t>introspección</w:t>
      </w:r>
      <w:r>
        <w:rPr>
          <w:b w:val="0"/>
          <w:i w:val="0"/>
        </w:rPr>
        <w:t xml:space="preserve"> (RFC 7662) cuando hay JWT.</w:t>
      </w:r>
    </w:p>
    <w:p>
      <w:pPr>
        <w:pStyle w:val="ListBullet"/>
      </w:pPr>
      <w:r>
        <w:rPr>
          <w:b/>
          <w:i w:val="0"/>
        </w:rPr>
        <w:t>Detección de anomalías</w:t>
      </w:r>
      <w:r>
        <w:rPr>
          <w:b w:val="0"/>
          <w:i w:val="0"/>
        </w:rPr>
        <w:t>: ¿este token se usa desde dos países a la vez?</w:t>
      </w:r>
    </w:p>
    <w:p>
      <w:pPr>
        <w:pStyle w:val="ListBullet"/>
      </w:pPr>
      <w:r>
        <w:rPr>
          <w:b/>
          <w:i w:val="0"/>
        </w:rPr>
        <w:t>Mapa de riesgos</w:t>
      </w:r>
      <w:r>
        <w:rPr>
          <w:b w:val="0"/>
          <w:i w:val="0"/>
        </w:rPr>
        <w:t xml:space="preserve">: </w:t>
      </w:r>
      <w:hyperlink r:id="rId27">
        <w:r>
          <w:rPr>
            <w:color w:val="0563C1"/>
            <w:u w:val="single"/>
          </w:rPr>
          <w:t xml:space="preserve">OWASP API Security Top 10, edición 2023</w:t>
        </w:r>
      </w:hyperlink>
      <w:r>
        <w:rPr>
          <w:b w:val="0"/>
          <w:i w:val="0"/>
        </w:rPr>
        <w:t xml:space="preserve"> — Api1 BOLA, Api2 Broken Authentication, Api3 BOPLA, Api6 Business Logic, Api8 Supply Chain.</w:t>
      </w:r>
    </w:p>
    <w:p>
      <w:r>
        <w:rPr>
          <w:b w:val="0"/>
          <w:i/>
        </w:rPr>
        <w:t>Frase de cierre del bloque:</w:t>
      </w:r>
      <w:r>
        <w:rPr>
          <w:b w:val="0"/>
          <w:i w:val="0"/>
        </w:rPr>
        <w:t xml:space="preserve"> </w:t>
      </w:r>
      <w:r>
        <w:rPr>
          <w:b w:val="0"/>
          <w:i/>
        </w:rPr>
        <w:t>"Más allá del bearer no hay un reemplazo mágico: hay capas. El token se atada a su portador, se le acorta la vida, se le vigila el uso y —sobre todo— se le pone una autorización al lado que el token no puede dar por sí solo."</w:t>
      </w:r>
    </w:p>
    <w:p>
      <w:r>
        <w:br w:type="page"/>
      </w:r>
    </w:p>
    <w:p>
      <w:pPr>
        <w:pStyle w:val="Heading1"/>
      </w:pPr>
      <w:r>
        <w:t>CIERRE — Tres mensajes (≈4 min)</w:t>
      </w:r>
    </w:p>
    <w:p>
      <w:r>
        <w:rPr>
          <w:b w:val="0"/>
          <w:i/>
        </w:rPr>
        <w:t>Slide: tres líneas, nada más.</w:t>
      </w:r>
    </w:p>
    <w:p>
      <w:r>
        <w:rPr>
          <w:b w:val="0"/>
          <w:i w:val="0"/>
        </w:rPr>
        <w:t xml:space="preserve">1. </w:t>
      </w:r>
      <w:r>
        <w:rPr>
          <w:b/>
          <w:i w:val="0"/>
        </w:rPr>
        <w:t>El bearer token es finito: se emite, se roba, se reutiliza y debe morir.</w:t>
      </w:r>
      <w:r>
        <w:rPr>
          <w:b w:val="0"/>
          <w:i w:val="0"/>
        </w:rPr>
        <w:t xml:space="preserve"> Medí su vida, rotalo, revocalo. La ausencia de </w:t>
      </w:r>
      <w:r>
        <w:rPr>
          <w:rFonts w:ascii="Consolas" w:hAnsi="Consolas"/>
          <w:b w:val="0"/>
          <w:i w:val="0"/>
          <w:color w:val="A03030"/>
        </w:rPr>
        <w:t>exp</w:t>
      </w:r>
      <w:r>
        <w:rPr>
          <w:b w:val="0"/>
          <w:i w:val="0"/>
        </w:rPr>
        <w:t xml:space="preserve"> es una vulnerabilidad.</w:t>
      </w:r>
    </w:p>
    <w:p>
      <w:r>
        <w:rPr>
          <w:b w:val="0"/>
          <w:i w:val="0"/>
        </w:rPr>
        <w:t xml:space="preserve">2. </w:t>
      </w:r>
      <w:r>
        <w:rPr>
          <w:b/>
          <w:i w:val="0"/>
        </w:rPr>
        <w:t>La MFA protege el momento de la emisión, no los treinta días siguientes.</w:t>
      </w:r>
      <w:r>
        <w:rPr>
          <w:b w:val="0"/>
          <w:i w:val="0"/>
        </w:rPr>
        <w:t xml:space="preserve"> Diseñá para el robo de artefactos —fatiga, AiTM, infostealers—, no sólo para el robo de passwords. Y si tu invocador es un sistema, no busques un MFA: busca identidad de workload con vida corta.</w:t>
      </w:r>
    </w:p>
    <w:p>
      <w:r>
        <w:rPr>
          <w:b w:val="0"/>
          <w:i w:val="0"/>
        </w:rPr>
        <w:t xml:space="preserve">3. </w:t>
      </w:r>
      <w:r>
        <w:rPr>
          <w:b/>
          <w:i w:val="0"/>
        </w:rPr>
        <w:t>Autenticar es la puerta; autorizar es la cerradura.</w:t>
      </w:r>
      <w:r>
        <w:rPr>
          <w:b w:val="0"/>
          <w:i w:val="0"/>
        </w:rPr>
        <w:t xml:space="preserve"> Un token perfecto no impide BOLA, no impide mass assignment, no impide abuso de lógica de negocio.</w:t>
      </w:r>
    </w:p>
    <w:p>
      <w:r>
        <w:rPr>
          <w:b/>
          <w:i w:val="0"/>
        </w:rPr>
        <w:t>Frase final (cierra el título):</w:t>
      </w:r>
    </w:p>
    <w:p>
      <w:pPr>
        <w:pStyle w:val="Quote"/>
      </w:pPr>
      <w:r>
        <w:rPr>
          <w:b w:val="0"/>
          <w:i/>
        </w:rPr>
        <w:t>"Al fin(ito) y más allá: el token se acaba, el riesgo no. Al fin y más allá del bearer token, la seguridad nunca estuvo en el string —estuvo siempre en el sistema."</w:t>
      </w:r>
    </w:p>
    <w:p>
      <w:r>
        <w:rPr>
          <w:b w:val="0"/>
          <w:i/>
        </w:rPr>
        <w:t>Gracias. Quedo a las preguntas.</w:t>
      </w:r>
    </w:p>
    <w:p>
      <w:r>
        <w:br w:type="page"/>
      </w:r>
    </w:p>
    <w:p>
      <w:pPr>
        <w:pStyle w:val="Heading1"/>
      </w:pPr>
      <w:r>
        <w:t>PREGUNTAS FRECUENTES PREVISTAS (guion de Q&amp;A)</w:t>
      </w:r>
    </w:p>
    <w:p>
      <w:r>
        <w:rPr>
          <w:b/>
          <w:i w:val="0"/>
        </w:rPr>
        <w:t>"¿Sirve o no sirve el JWT?"</w:t>
      </w:r>
    </w:p>
    <w:p>
      <w:r>
        <w:rPr>
          <w:b w:val="0"/>
          <w:i w:val="0"/>
        </w:rPr>
        <w:t xml:space="preserve">Sirve, si su vida es corta, su </w:t>
      </w:r>
      <w:r>
        <w:rPr>
          <w:rFonts w:ascii="Consolas" w:hAnsi="Consolas"/>
          <w:b w:val="0"/>
          <w:i w:val="0"/>
          <w:color w:val="A03030"/>
        </w:rPr>
        <w:t>aud</w:t>
      </w:r>
      <w:r>
        <w:rPr>
          <w:b w:val="0"/>
          <w:i w:val="0"/>
        </w:rPr>
        <w:t xml:space="preserve"> es estricto y tenés introspección o rotación para lo que pase después. Es una herramienta de escalabilidad, no un sello de seguridad.</w:t>
      </w:r>
    </w:p>
    <w:p>
      <w:r>
        <w:rPr>
          <w:b/>
          <w:i w:val="0"/>
        </w:rPr>
        <w:t>"¿Entonces hay que volver a OAuth 1.0?"</w:t>
      </w:r>
    </w:p>
    <w:p>
      <w:r>
        <w:rPr>
          <w:b w:val="0"/>
          <w:i w:val="0"/>
        </w:rPr>
        <w:t>No: DPoP es esa idea, mejor integrada y sin canonicalización artesanal. La historia no se repite, se codifica.</w:t>
      </w:r>
    </w:p>
    <w:p>
      <w:r>
        <w:rPr>
          <w:b/>
          <w:i w:val="0"/>
        </w:rPr>
        <w:t>"¿Las cookies son peores que el bearer?"</w:t>
      </w:r>
    </w:p>
    <w:p>
      <w:r>
        <w:rPr>
          <w:b w:val="0"/>
          <w:i w:val="0"/>
        </w:rPr>
        <w:t xml:space="preserve">Son un bearer distinto: viajan automáticamente, lo cual las hace cómodas y propensas a CSRF, pero </w:t>
      </w:r>
      <w:r>
        <w:rPr>
          <w:rFonts w:ascii="Consolas" w:hAnsi="Consolas"/>
          <w:b w:val="0"/>
          <w:i w:val="0"/>
          <w:color w:val="A03030"/>
        </w:rPr>
        <w:t>HttpOnly</w:t>
      </w:r>
      <w:r>
        <w:rPr>
          <w:b w:val="0"/>
          <w:i w:val="0"/>
        </w:rPr>
        <w:t xml:space="preserve"> las protege de la lectura por XSS. Elegí según el contexto —navegador vs. cliente nativo vs. servidor a servidor—.</w:t>
      </w:r>
    </w:p>
    <w:p>
      <w:r>
        <w:rPr>
          <w:b/>
          <w:i w:val="0"/>
        </w:rPr>
        <w:t>"¿MFA para APIs de terceros?"</w:t>
      </w:r>
    </w:p>
    <w:p>
      <w:r>
        <w:rPr>
          <w:b w:val="0"/>
          <w:i w:val="0"/>
        </w:rPr>
        <w:t xml:space="preserve">La MFA ocurre en tu IdP; el tercero recibe un token con </w:t>
      </w:r>
      <w:r>
        <w:rPr>
          <w:rFonts w:ascii="Consolas" w:hAnsi="Consolas"/>
          <w:b w:val="0"/>
          <w:i w:val="0"/>
          <w:color w:val="A03030"/>
        </w:rPr>
        <w:t>acr</w:t>
      </w:r>
      <w:r>
        <w:rPr>
          <w:b w:val="0"/>
          <w:i w:val="0"/>
        </w:rPr>
        <w:t>/</w:t>
      </w:r>
      <w:r>
        <w:rPr>
          <w:rFonts w:ascii="Consolas" w:hAnsi="Consolas"/>
          <w:b w:val="0"/>
          <w:i w:val="0"/>
          <w:color w:val="A03030"/>
        </w:rPr>
        <w:t>amr</w:t>
      </w:r>
      <w:r>
        <w:rPr>
          <w:b w:val="0"/>
          <w:i w:val="0"/>
        </w:rPr>
        <w:t>. Si el tercero necesita más garantía, la respuesta es step-up o scope acotado, no "pedirle un SMS a su API".</w:t>
      </w:r>
    </w:p>
    <w:p>
      <w:r>
        <w:rPr>
          <w:b/>
          <w:i w:val="0"/>
        </w:rPr>
        <w:t>"¿API key o OAuth?"</w:t>
      </w:r>
    </w:p>
    <w:p>
      <w:r>
        <w:rPr>
          <w:b w:val="0"/>
          <w:i w:val="0"/>
        </w:rPr>
        <w:t>Si hay un humano detrás o un alcance que varía: OAuth. Si es identificación de un integrador fijo: API key, pero con rotación, revocación y al menos IP allowlist —y nunca en el cliente público.</w:t>
      </w:r>
    </w:p>
    <w:p>
      <w:r>
        <w:br w:type="page"/>
      </w:r>
    </w:p>
    <w:p>
      <w:pPr>
        <w:pStyle w:val="Heading1"/>
      </w:pPr>
      <w:r>
        <w:t>GLOSARIO</w:t>
      </w:r>
    </w:p>
    <w:p>
      <w:r>
        <w:rPr>
          <w:b w:val="0"/>
          <w:i/>
        </w:rPr>
        <w:t>Termino → definición → primera aparición.</w:t>
      </w:r>
    </w:p>
    <w:p>
      <w:pPr>
        <w:pStyle w:val="ListBullet"/>
      </w:pPr>
      <w:r>
        <w:rPr>
          <w:b/>
          <w:i w:val="0"/>
        </w:rPr>
        <w:t>Access token</w:t>
      </w:r>
      <w:r>
        <w:rPr>
          <w:b w:val="0"/>
          <w:i w:val="0"/>
        </w:rPr>
        <w:t xml:space="preserve"> → Artefacto que se presenta ante la API de recursos para autorizar una petición; define alcance y vida. → </w:t>
      </w:r>
      <w:r>
        <w:rPr>
          <w:b/>
          <w:i w:val="0"/>
        </w:rPr>
        <w:t>RFC 6749 §5, octubre 2012</w:t>
      </w:r>
      <w:r>
        <w:rPr>
          <w:b w:val="0"/>
          <w:i w:val="0"/>
        </w:rPr>
        <w:t xml:space="preserve">; su uso bearer en </w:t>
      </w:r>
      <w:r>
        <w:rPr>
          <w:b/>
          <w:i w:val="0"/>
        </w:rPr>
        <w:t>RFC 6750, octubre 2012</w:t>
      </w:r>
      <w:r>
        <w:rPr>
          <w:b w:val="0"/>
          <w:i w:val="0"/>
        </w:rPr>
        <w:t xml:space="preserve">; perfil JWT en </w:t>
      </w:r>
      <w:r>
        <w:rPr>
          <w:b/>
          <w:i w:val="0"/>
        </w:rPr>
        <w:t>RFC 9068, mayo 2021</w:t>
      </w:r>
      <w:r>
        <w:rPr>
          <w:b w:val="0"/>
          <w:i w:val="0"/>
        </w:rPr>
        <w:t>.</w:t>
      </w:r>
    </w:p>
    <w:p>
      <w:pPr>
        <w:pStyle w:val="ListBullet"/>
      </w:pPr>
      <w:r>
        <w:rPr>
          <w:b/>
          <w:i w:val="0"/>
        </w:rPr>
        <w:t>AAL (Authenticator Assurance Levels)</w:t>
      </w:r>
      <w:r>
        <w:rPr>
          <w:b w:val="0"/>
          <w:i w:val="0"/>
        </w:rPr>
        <w:t xml:space="preserve"> → Niveles de garantía de un autenticador (AAL1/2/3) definidos por NIST. → </w:t>
      </w:r>
      <w:r>
        <w:rPr>
          <w:b/>
          <w:i w:val="0"/>
        </w:rPr>
        <w:t>NIST SP 800-63-3, junio 2017</w:t>
      </w:r>
      <w:r>
        <w:rPr>
          <w:b w:val="0"/>
          <w:i w:val="0"/>
        </w:rPr>
        <w:t xml:space="preserve">; vigente en </w:t>
      </w:r>
      <w:r>
        <w:rPr>
          <w:b/>
          <w:i w:val="0"/>
        </w:rPr>
        <w:t>SP 800-63-4, julio 2025</w:t>
      </w:r>
      <w:r>
        <w:rPr>
          <w:b w:val="0"/>
          <w:i w:val="0"/>
        </w:rPr>
        <w:t>.</w:t>
      </w:r>
    </w:p>
    <w:p>
      <w:pPr>
        <w:pStyle w:val="ListBullet"/>
      </w:pPr>
      <w:r>
        <w:rPr>
          <w:b/>
          <w:i w:val="0"/>
        </w:rPr>
        <w:t>`acr` (Authentication Context Class Reference)</w:t>
      </w:r>
      <w:r>
        <w:rPr>
          <w:b w:val="0"/>
          <w:i w:val="0"/>
        </w:rPr>
        <w:t xml:space="preserve"> → Claim que indica el contexto/nivel de autenticación usado. → </w:t>
      </w:r>
      <w:r>
        <w:rPr>
          <w:b/>
          <w:i w:val="0"/>
        </w:rPr>
        <w:t>OpenID Connect Core 1.0, febrero 2014</w:t>
      </w:r>
      <w:r>
        <w:rPr>
          <w:b w:val="0"/>
          <w:i w:val="0"/>
        </w:rPr>
        <w:t xml:space="preserve"> (marco), con raíces en OpenID 2.0.</w:t>
      </w:r>
    </w:p>
    <w:p>
      <w:pPr>
        <w:pStyle w:val="ListBullet"/>
      </w:pPr>
      <w:r>
        <w:rPr>
          <w:b/>
          <w:i w:val="0"/>
        </w:rPr>
        <w:t>`alg`</w:t>
      </w:r>
      <w:r>
        <w:rPr>
          <w:b w:val="0"/>
          <w:i w:val="0"/>
        </w:rPr>
        <w:t xml:space="preserve"> → Header del JWT que declara el algoritmo de firma; su confianza ciega originó clases enteras de ataques. → </w:t>
      </w:r>
      <w:r>
        <w:rPr>
          <w:b/>
          <w:i w:val="0"/>
        </w:rPr>
        <w:t>RFC 7519, mayo 2015</w:t>
      </w:r>
      <w:r>
        <w:rPr>
          <w:b w:val="0"/>
          <w:i w:val="0"/>
        </w:rPr>
        <w:t>.</w:t>
      </w:r>
    </w:p>
    <w:p>
      <w:pPr>
        <w:pStyle w:val="ListBullet"/>
      </w:pPr>
      <w:r>
        <w:rPr>
          <w:b/>
          <w:i w:val="0"/>
        </w:rPr>
        <w:t>API key</w:t>
      </w:r>
      <w:r>
        <w:rPr>
          <w:b w:val="0"/>
          <w:i w:val="0"/>
        </w:rPr>
        <w:t xml:space="preserve"> → Identificador estático emitido a un sistema; identifica, no autentica; sin </w:t>
      </w:r>
      <w:r>
        <w:rPr>
          <w:rFonts w:ascii="Consolas" w:hAnsi="Consolas"/>
          <w:b w:val="0"/>
          <w:i w:val="0"/>
          <w:color w:val="A03030"/>
        </w:rPr>
        <w:t>exp</w:t>
      </w:r>
      <w:r>
        <w:rPr>
          <w:b w:val="0"/>
          <w:i w:val="0"/>
        </w:rPr>
        <w:t xml:space="preserve"> por defecto. → </w:t>
      </w:r>
      <w:r>
        <w:rPr>
          <w:b/>
          <w:i w:val="0"/>
        </w:rPr>
        <w:t>Sin RFC: práctica de industria, mediados de los 2000 (access keys de AWS, 2006)</w:t>
      </w:r>
      <w:r>
        <w:rPr>
          <w:b w:val="0"/>
          <w:i w:val="0"/>
        </w:rPr>
        <w:t>.</w:t>
      </w:r>
    </w:p>
    <w:p>
      <w:pPr>
        <w:pStyle w:val="ListBullet"/>
      </w:pPr>
      <w:r>
        <w:rPr>
          <w:b/>
          <w:i w:val="0"/>
        </w:rPr>
        <w:t>Authorization code</w:t>
      </w:r>
      <w:r>
        <w:rPr>
          <w:b w:val="0"/>
          <w:i w:val="0"/>
        </w:rPr>
        <w:t xml:space="preserve"> → Código de un solo uso, emitido en el front channel, intercambiado por tokens por canal trasero. → </w:t>
      </w:r>
      <w:r>
        <w:rPr>
          <w:b/>
          <w:i w:val="0"/>
        </w:rPr>
        <w:t>RFC 6749 §4.1, octubre 2012</w:t>
      </w:r>
      <w:r>
        <w:rPr>
          <w:b w:val="0"/>
          <w:i w:val="0"/>
        </w:rPr>
        <w:t>.</w:t>
      </w:r>
    </w:p>
    <w:p>
      <w:pPr>
        <w:pStyle w:val="ListBullet"/>
      </w:pPr>
      <w:r>
        <w:rPr>
          <w:b/>
          <w:i w:val="0"/>
        </w:rPr>
        <w:t>Bearer token</w:t>
      </w:r>
      <w:r>
        <w:rPr>
          <w:b w:val="0"/>
          <w:i w:val="0"/>
        </w:rPr>
        <w:t xml:space="preserve"> → Artefacto cuya posesión equivale a autorización: quien lo tiene, lo usa. → </w:t>
      </w:r>
      <w:r>
        <w:rPr>
          <w:b/>
          <w:i w:val="0"/>
        </w:rPr>
        <w:t>RFC 6750, octubre 2012</w:t>
      </w:r>
      <w:r>
        <w:rPr>
          <w:b w:val="0"/>
          <w:i w:val="0"/>
        </w:rPr>
        <w:t xml:space="preserve"> (el término de "instrumento al portador" es anterior en derecho mercantil).</w:t>
      </w:r>
    </w:p>
    <w:p>
      <w:pPr>
        <w:pStyle w:val="ListBullet"/>
      </w:pPr>
      <w:r>
        <w:rPr>
          <w:b/>
          <w:i w:val="0"/>
        </w:rPr>
        <w:t>BOLA (Broken Object Level Authorization)</w:t>
      </w:r>
      <w:r>
        <w:rPr>
          <w:b w:val="0"/>
          <w:i w:val="0"/>
        </w:rPr>
        <w:t xml:space="preserve"> → Presentar un token válido para acceder a objetos de otro. → </w:t>
      </w:r>
      <w:r>
        <w:rPr>
          <w:b/>
          <w:i w:val="0"/>
        </w:rPr>
        <w:t>OWASP API Security Top 10, edición 2019</w:t>
      </w:r>
      <w:r>
        <w:rPr>
          <w:b w:val="0"/>
          <w:i w:val="0"/>
        </w:rPr>
        <w:t xml:space="preserve">; Api1 en </w:t>
      </w:r>
      <w:r>
        <w:rPr>
          <w:b/>
          <w:i w:val="0"/>
        </w:rPr>
        <w:t>edición 2023</w:t>
      </w:r>
      <w:r>
        <w:rPr>
          <w:b w:val="0"/>
          <w:i w:val="0"/>
        </w:rPr>
        <w:t>.</w:t>
      </w:r>
    </w:p>
    <w:p>
      <w:pPr>
        <w:pStyle w:val="ListBullet"/>
      </w:pPr>
      <w:r>
        <w:rPr>
          <w:b/>
          <w:i w:val="0"/>
        </w:rPr>
        <w:t>BOPLA (Broken Object Property Level Authorization / mass assignment)</w:t>
      </w:r>
      <w:r>
        <w:rPr>
          <w:b w:val="0"/>
          <w:i w:val="0"/>
        </w:rPr>
        <w:t xml:space="preserve"> → Setear propiedades de objeto que no deberían ser controlables por el cliente (p. ej. </w:t>
      </w:r>
      <w:r>
        <w:rPr>
          <w:rFonts w:ascii="Consolas" w:hAnsi="Consolas"/>
          <w:b w:val="0"/>
          <w:i w:val="0"/>
          <w:color w:val="A03030"/>
        </w:rPr>
        <w:t>rol</w:t>
      </w:r>
      <w:r>
        <w:rPr>
          <w:b w:val="0"/>
          <w:i w:val="0"/>
        </w:rPr>
        <w:t xml:space="preserve">). → </w:t>
      </w:r>
      <w:r>
        <w:rPr>
          <w:b/>
          <w:i w:val="0"/>
        </w:rPr>
        <w:t>OWASP API Security Top 10, edición 2021 (Api3)</w:t>
      </w:r>
      <w:r>
        <w:rPr>
          <w:b w:val="0"/>
          <w:i w:val="0"/>
        </w:rPr>
        <w:t>.</w:t>
      </w:r>
    </w:p>
    <w:p>
      <w:pPr>
        <w:pStyle w:val="ListBullet"/>
      </w:pPr>
      <w:r>
        <w:rPr>
          <w:b/>
          <w:i w:val="0"/>
        </w:rPr>
        <w:t>Capability</w:t>
      </w:r>
      <w:r>
        <w:rPr>
          <w:b w:val="0"/>
          <w:i w:val="0"/>
        </w:rPr>
        <w:t xml:space="preserve"> → Facultad de acceso que se posee y se puede delegar, sin identificar al portador; el bearer token es una capability digital. → </w:t>
      </w:r>
      <w:r>
        <w:rPr>
          <w:b/>
          <w:i w:val="0"/>
        </w:rPr>
        <w:t>Marco teórico: Saltzer &amp; Schroeder, "The Protection of Information in Computer Systems", Proc. IEEE, 1975</w:t>
      </w:r>
      <w:r>
        <w:rPr>
          <w:b w:val="0"/>
          <w:i w:val="0"/>
        </w:rPr>
        <w:t>.</w:t>
      </w:r>
    </w:p>
    <w:p>
      <w:pPr>
        <w:pStyle w:val="ListBullet"/>
      </w:pPr>
      <w:r>
        <w:rPr>
          <w:b/>
          <w:i w:val="0"/>
        </w:rPr>
        <w:t>Client credentials grant</w:t>
      </w:r>
      <w:r>
        <w:rPr>
          <w:b w:val="0"/>
          <w:i w:val="0"/>
        </w:rPr>
        <w:t xml:space="preserve"> → Flujo donde un sistema se autentica solo y obtiene un access token. → </w:t>
      </w:r>
      <w:r>
        <w:rPr>
          <w:b/>
          <w:i w:val="0"/>
        </w:rPr>
        <w:t>RFC 6749 §4.4, octubre 2012</w:t>
      </w:r>
      <w:r>
        <w:rPr>
          <w:b w:val="0"/>
          <w:i w:val="0"/>
        </w:rPr>
        <w:t>.</w:t>
      </w:r>
    </w:p>
    <w:p>
      <w:pPr>
        <w:pStyle w:val="ListBullet"/>
      </w:pPr>
      <w:r>
        <w:rPr>
          <w:b/>
          <w:i w:val="0"/>
        </w:rPr>
        <w:t>Cliente confidencial / público</w:t>
      </w:r>
      <w:r>
        <w:rPr>
          <w:b w:val="0"/>
          <w:i w:val="0"/>
        </w:rPr>
        <w:t xml:space="preserve"> → Confidencial guarda un secreto (servidor); público no puede (app móvil, SPA). → </w:t>
      </w:r>
      <w:r>
        <w:rPr>
          <w:b/>
          <w:i w:val="0"/>
        </w:rPr>
        <w:t>RFC 6749 §2.1, octubre 2012</w:t>
      </w:r>
      <w:r>
        <w:rPr>
          <w:b w:val="0"/>
          <w:i w:val="0"/>
        </w:rPr>
        <w:t>.</w:t>
      </w:r>
    </w:p>
    <w:p>
      <w:pPr>
        <w:pStyle w:val="ListBullet"/>
      </w:pPr>
      <w:r>
        <w:rPr>
          <w:b/>
          <w:i w:val="0"/>
        </w:rPr>
        <w:t>Confused deputy</w:t>
      </w:r>
      <w:r>
        <w:rPr>
          <w:b w:val="0"/>
          <w:i w:val="0"/>
        </w:rPr>
        <w:t xml:space="preserve"> → Problema en el que un programa con privilegios es engañado para actuar en nombre de un atacante; motivó el diseño de capabilities. → </w:t>
      </w:r>
      <w:r>
        <w:rPr>
          <w:b/>
          <w:i w:val="0"/>
        </w:rPr>
        <w:t>Norm Hardy, ACM, 1989</w:t>
      </w:r>
      <w:r>
        <w:rPr>
          <w:b w:val="0"/>
          <w:i w:val="0"/>
        </w:rPr>
        <w:t>.</w:t>
      </w:r>
    </w:p>
    <w:p>
      <w:pPr>
        <w:pStyle w:val="ListBullet"/>
      </w:pPr>
      <w:r>
        <w:rPr>
          <w:b/>
          <w:i w:val="0"/>
        </w:rPr>
        <w:t>Digest / Basic</w:t>
      </w:r>
      <w:r>
        <w:rPr>
          <w:b w:val="0"/>
          <w:i w:val="0"/>
        </w:rPr>
        <w:t xml:space="preserve"> → Esquemas de autenticación HTTP; Basic envía credenciales en Base64 por request. → </w:t>
      </w:r>
      <w:r>
        <w:rPr>
          <w:b/>
          <w:i w:val="0"/>
        </w:rPr>
        <w:t>RFC 2617, junio 1999</w:t>
      </w:r>
      <w:r>
        <w:rPr>
          <w:b w:val="0"/>
          <w:i w:val="0"/>
        </w:rPr>
        <w:t xml:space="preserve"> (hoy </w:t>
      </w:r>
      <w:r>
        <w:rPr>
          <w:b/>
          <w:i w:val="0"/>
        </w:rPr>
        <w:t>RFC 7616, agosto 2015</w:t>
      </w:r>
      <w:r>
        <w:rPr>
          <w:b w:val="0"/>
          <w:i w:val="0"/>
        </w:rPr>
        <w:t>).</w:t>
      </w:r>
    </w:p>
    <w:p>
      <w:pPr>
        <w:pStyle w:val="ListBullet"/>
      </w:pPr>
      <w:r>
        <w:rPr>
          <w:b/>
          <w:i w:val="0"/>
        </w:rPr>
        <w:t>DPoP (Demonstrating Proof of Possession)</w:t>
      </w:r>
      <w:r>
        <w:rPr>
          <w:b w:val="0"/>
          <w:i w:val="0"/>
        </w:rPr>
        <w:t xml:space="preserve"> → Token atado a una clave privada del cliente; exige firma criptográfica por request. → </w:t>
      </w:r>
      <w:r>
        <w:rPr>
          <w:b/>
          <w:i w:val="0"/>
        </w:rPr>
        <w:t>RFC 9449, octubre 2023</w:t>
      </w:r>
      <w:r>
        <w:rPr>
          <w:b w:val="0"/>
          <w:i w:val="0"/>
        </w:rPr>
        <w:t>.</w:t>
      </w:r>
    </w:p>
    <w:p>
      <w:pPr>
        <w:pStyle w:val="ListBullet"/>
      </w:pPr>
      <w:r>
        <w:rPr>
          <w:b/>
          <w:i w:val="0"/>
        </w:rPr>
        <w:t>`exp` / `nbf` / `iat`</w:t>
      </w:r>
      <w:r>
        <w:rPr>
          <w:b w:val="0"/>
          <w:i w:val="0"/>
        </w:rPr>
        <w:t xml:space="preserve"> → Claims de expiración, "no antes de" y emisión. → </w:t>
      </w:r>
      <w:r>
        <w:rPr>
          <w:b/>
          <w:i w:val="0"/>
        </w:rPr>
        <w:t>RFC 7519, mayo 2015</w:t>
      </w:r>
      <w:r>
        <w:rPr>
          <w:b w:val="0"/>
          <w:i w:val="0"/>
        </w:rPr>
        <w:t xml:space="preserve">; </w:t>
      </w:r>
      <w:r>
        <w:rPr>
          <w:rFonts w:ascii="Consolas" w:hAnsi="Consolas"/>
          <w:b w:val="0"/>
          <w:i w:val="0"/>
          <w:color w:val="A03030"/>
        </w:rPr>
        <w:t>exp</w:t>
      </w:r>
      <w:r>
        <w:rPr>
          <w:b w:val="0"/>
          <w:i w:val="0"/>
        </w:rPr>
        <w:t xml:space="preserve"> obligatorio para access tokens en </w:t>
      </w:r>
      <w:r>
        <w:rPr>
          <w:b/>
          <w:i w:val="0"/>
        </w:rPr>
        <w:t>RFC 9068, 2021</w:t>
      </w:r>
      <w:r>
        <w:rPr>
          <w:b w:val="0"/>
          <w:i w:val="0"/>
        </w:rPr>
        <w:t>.</w:t>
      </w:r>
    </w:p>
    <w:p>
      <w:pPr>
        <w:pStyle w:val="ListBullet"/>
      </w:pPr>
      <w:r>
        <w:rPr>
          <w:b/>
          <w:i w:val="0"/>
        </w:rPr>
        <w:t>ID token</w:t>
      </w:r>
      <w:r>
        <w:rPr>
          <w:b w:val="0"/>
          <w:i w:val="0"/>
        </w:rPr>
        <w:t xml:space="preserve"> → JWT que identifica a la persona y cómo se autenticó; va a la app, no a la API de recursos. → </w:t>
      </w:r>
      <w:r>
        <w:rPr>
          <w:b/>
          <w:i w:val="0"/>
        </w:rPr>
        <w:t>OpenID Connect Core 1.0, aprobado el 26 de febrero de 2014</w:t>
      </w:r>
      <w:r>
        <w:rPr>
          <w:b w:val="0"/>
          <w:i w:val="0"/>
        </w:rPr>
        <w:t>.</w:t>
      </w:r>
    </w:p>
    <w:p>
      <w:pPr>
        <w:pStyle w:val="ListBullet"/>
      </w:pPr>
      <w:r>
        <w:rPr>
          <w:b/>
          <w:i w:val="0"/>
        </w:rPr>
        <w:t>Infostealer / pass-the-cookie</w:t>
      </w:r>
      <w:r>
        <w:rPr>
          <w:b w:val="0"/>
          <w:i w:val="0"/>
        </w:rPr>
        <w:t xml:space="preserve"> → Malware que extrae cookies y tokens del navegador para reutilizar sesiones. → </w:t>
      </w:r>
      <w:r>
        <w:rPr>
          <w:b/>
          <w:i w:val="0"/>
        </w:rPr>
        <w:t>Familias comerciales desde mediados de los 2010; técnicas catalogadas por MITRE ATT&amp;CK (T1539)</w:t>
      </w:r>
      <w:r>
        <w:rPr>
          <w:b w:val="0"/>
          <w:i w:val="0"/>
        </w:rPr>
        <w:t>.</w:t>
      </w:r>
    </w:p>
    <w:p>
      <w:pPr>
        <w:pStyle w:val="ListBullet"/>
      </w:pPr>
      <w:r>
        <w:rPr>
          <w:b/>
          <w:i w:val="0"/>
        </w:rPr>
        <w:t>Introspección</w:t>
      </w:r>
      <w:r>
        <w:rPr>
          <w:b w:val="0"/>
          <w:i w:val="0"/>
        </w:rPr>
        <w:t xml:space="preserve"> → Endpoint que al validador le dice si un token opaco sigue vigente y qué claims tiene. → </w:t>
      </w:r>
      <w:r>
        <w:rPr>
          <w:b/>
          <w:i w:val="0"/>
        </w:rPr>
        <w:t>RFC 7662, octubre 2015</w:t>
      </w:r>
      <w:r>
        <w:rPr>
          <w:b w:val="0"/>
          <w:i w:val="0"/>
        </w:rPr>
        <w:t>.</w:t>
      </w:r>
    </w:p>
    <w:p>
      <w:pPr>
        <w:pStyle w:val="ListBullet"/>
      </w:pPr>
      <w:r>
        <w:rPr>
          <w:b/>
          <w:i w:val="0"/>
        </w:rPr>
        <w:t>`jti` (JWT ID)</w:t>
      </w:r>
      <w:r>
        <w:rPr>
          <w:b w:val="0"/>
          <w:i w:val="0"/>
        </w:rPr>
        <w:t xml:space="preserve"> → Identificador único del JWT, para anti-replay y revocación selectiva. → </w:t>
      </w:r>
      <w:r>
        <w:rPr>
          <w:b/>
          <w:i w:val="0"/>
        </w:rPr>
        <w:t>RFC 7519, mayo 2015</w:t>
      </w:r>
      <w:r>
        <w:rPr>
          <w:b w:val="0"/>
          <w:i w:val="0"/>
        </w:rPr>
        <w:t>.</w:t>
      </w:r>
    </w:p>
    <w:p>
      <w:pPr>
        <w:pStyle w:val="ListBullet"/>
      </w:pPr>
      <w:r>
        <w:rPr>
          <w:b/>
          <w:i w:val="0"/>
        </w:rPr>
        <w:t>`kid` (Key ID)</w:t>
      </w:r>
      <w:r>
        <w:rPr>
          <w:b w:val="0"/>
          <w:i w:val="0"/>
        </w:rPr>
        <w:t xml:space="preserve"> → Header que indica qué clave firmó el token. → </w:t>
      </w:r>
      <w:r>
        <w:rPr>
          <w:b/>
          <w:i w:val="0"/>
        </w:rPr>
        <w:t>RFC 7517 (JWK), mayo 2015</w:t>
      </w:r>
      <w:r>
        <w:rPr>
          <w:b w:val="0"/>
          <w:i w:val="0"/>
        </w:rPr>
        <w:t>.</w:t>
      </w:r>
    </w:p>
    <w:p>
      <w:pPr>
        <w:pStyle w:val="ListBullet"/>
      </w:pPr>
      <w:r>
        <w:rPr>
          <w:b/>
          <w:i w:val="0"/>
        </w:rPr>
        <w:t>JWT (JSON Web Token)</w:t>
      </w:r>
      <w:r>
        <w:rPr>
          <w:b w:val="0"/>
          <w:i w:val="0"/>
        </w:rPr>
        <w:t xml:space="preserve"> → Token autocontenido con claims en JSON, firmado/cifrado según JOSE. → </w:t>
      </w:r>
      <w:r>
        <w:rPr>
          <w:b/>
          <w:i w:val="0"/>
        </w:rPr>
        <w:t>Primer borrador: 28 de diciembre de 2010; RFC 7519: mayo de 2015</w:t>
      </w:r>
      <w:r>
        <w:rPr>
          <w:b w:val="0"/>
          <w:i w:val="0"/>
        </w:rPr>
        <w:t>.</w:t>
      </w:r>
    </w:p>
    <w:p>
      <w:pPr>
        <w:pStyle w:val="ListBullet"/>
      </w:pPr>
      <w:r>
        <w:rPr>
          <w:b/>
          <w:i w:val="0"/>
        </w:rPr>
        <w:t>JWS / JWE / JWK / JWA</w:t>
      </w:r>
      <w:r>
        <w:rPr>
          <w:b w:val="0"/>
          <w:i w:val="0"/>
        </w:rPr>
        <w:t xml:space="preserve"> → Firma, cifrado, claves y algoritmos de la familia JOSE. → </w:t>
      </w:r>
      <w:r>
        <w:rPr>
          <w:b/>
          <w:i w:val="0"/>
        </w:rPr>
        <w:t>RFC 7515 / 7516 / 7517 / 7518, mayo de 2015</w:t>
      </w:r>
      <w:r>
        <w:rPr>
          <w:b w:val="0"/>
          <w:i w:val="0"/>
        </w:rPr>
        <w:t>.</w:t>
      </w:r>
    </w:p>
    <w:p>
      <w:pPr>
        <w:pStyle w:val="ListBullet"/>
      </w:pPr>
      <w:r>
        <w:rPr>
          <w:b/>
          <w:i w:val="0"/>
        </w:rPr>
        <w:t>mTLS + token atado a certificado</w:t>
      </w:r>
      <w:r>
        <w:rPr>
          <w:b w:val="0"/>
          <w:i w:val="0"/>
        </w:rPr>
        <w:t xml:space="preserve"> → El token sólo es válido si el cliente presenta el certificado emparejado. → </w:t>
      </w:r>
      <w:r>
        <w:rPr>
          <w:b/>
          <w:i w:val="0"/>
        </w:rPr>
        <w:t>RFC 8705, febrero 2020</w:t>
      </w:r>
      <w:r>
        <w:rPr>
          <w:b w:val="0"/>
          <w:i w:val="0"/>
        </w:rPr>
        <w:t>.</w:t>
      </w:r>
    </w:p>
    <w:p>
      <w:pPr>
        <w:pStyle w:val="ListBullet"/>
      </w:pPr>
      <w:r>
        <w:rPr>
          <w:b/>
          <w:i w:val="0"/>
        </w:rPr>
        <w:t>MFA / factor de autenticación</w:t>
      </w:r>
      <w:r>
        <w:rPr>
          <w:b w:val="0"/>
          <w:i w:val="0"/>
        </w:rPr>
        <w:t xml:space="preserve"> → Exigir más de un tipo de factor (conocimiento, posesión, inherencia). → </w:t>
      </w:r>
      <w:r>
        <w:rPr>
          <w:b/>
          <w:i w:val="0"/>
        </w:rPr>
        <w:t>NIST SP 800-63-1, 2011</w:t>
      </w:r>
      <w:r>
        <w:rPr>
          <w:b w:val="0"/>
          <w:i w:val="0"/>
        </w:rPr>
        <w:t xml:space="preserve"> (marco moderno); passkeys en </w:t>
      </w:r>
      <w:r>
        <w:rPr>
          <w:b/>
          <w:i w:val="0"/>
        </w:rPr>
        <w:t>SP 800-63-4, julio 2025</w:t>
      </w:r>
      <w:r>
        <w:rPr>
          <w:b w:val="0"/>
          <w:i w:val="0"/>
        </w:rPr>
        <w:t>.</w:t>
      </w:r>
    </w:p>
    <w:p>
      <w:pPr>
        <w:pStyle w:val="ListBullet"/>
      </w:pPr>
      <w:r>
        <w:rPr>
          <w:b/>
          <w:i w:val="0"/>
        </w:rPr>
        <w:t>MFA fatigue / push bombing (T1621)</w:t>
      </w:r>
      <w:r>
        <w:rPr>
          <w:b w:val="0"/>
          <w:i w:val="0"/>
        </w:rPr>
        <w:t xml:space="preserve"> → Bombardeo de pushes hasta que la víctima aprueba. → </w:t>
      </w:r>
      <w:r>
        <w:rPr>
          <w:b/>
          <w:i w:val="0"/>
        </w:rPr>
        <w:t>MITRE ATT&amp;CK T1621 (2021)</w:t>
      </w:r>
      <w:r>
        <w:rPr>
          <w:b w:val="0"/>
          <w:i w:val="0"/>
        </w:rPr>
        <w:t>; casos públicos: Uber 2022.</w:t>
      </w:r>
    </w:p>
    <w:p>
      <w:pPr>
        <w:pStyle w:val="ListBullet"/>
      </w:pPr>
      <w:r>
        <w:rPr>
          <w:b/>
          <w:i w:val="0"/>
        </w:rPr>
        <w:t>`nonce`</w:t>
      </w:r>
      <w:r>
        <w:rPr>
          <w:b w:val="0"/>
          <w:i w:val="0"/>
        </w:rPr>
        <w:t xml:space="preserve"> → Valor aleatorio único anti-replay. → </w:t>
      </w:r>
      <w:r>
        <w:rPr>
          <w:b/>
          <w:i w:val="0"/>
        </w:rPr>
        <w:t>RFC 6749 (`state`, 2012)</w:t>
      </w:r>
      <w:r>
        <w:rPr>
          <w:b w:val="0"/>
          <w:i w:val="0"/>
        </w:rPr>
        <w:t xml:space="preserve"> y </w:t>
      </w:r>
      <w:r>
        <w:rPr>
          <w:b/>
          <w:i w:val="0"/>
        </w:rPr>
        <w:t>RFC 7636 (PKCE `code_verifier`, agosto 2015)</w:t>
      </w:r>
      <w:r>
        <w:rPr>
          <w:b w:val="0"/>
          <w:i w:val="0"/>
        </w:rPr>
        <w:t>.</w:t>
      </w:r>
    </w:p>
    <w:p>
      <w:pPr>
        <w:pStyle w:val="ListBullet"/>
      </w:pPr>
      <w:r>
        <w:rPr>
          <w:b/>
          <w:i w:val="0"/>
        </w:rPr>
        <w:t>NHI (Non-Human Identity)</w:t>
      </w:r>
      <w:r>
        <w:rPr>
          <w:b w:val="0"/>
          <w:i w:val="0"/>
        </w:rPr>
        <w:t xml:space="preserve"> → Identidad de máquina/servicio; objeto de la "crisis" de secretos sin ciclo de vida. → </w:t>
      </w:r>
      <w:r>
        <w:rPr>
          <w:b/>
          <w:i w:val="0"/>
        </w:rPr>
        <w:t>Término popularizado por reportes de industria desde ~2022-2023 (p. ej. GitGuardian 2025-2026)</w:t>
      </w:r>
      <w:r>
        <w:rPr>
          <w:b w:val="0"/>
          <w:i w:val="0"/>
        </w:rPr>
        <w:t>.</w:t>
      </w:r>
    </w:p>
    <w:p>
      <w:pPr>
        <w:pStyle w:val="ListBullet"/>
      </w:pPr>
      <w:r>
        <w:rPr>
          <w:b/>
          <w:i w:val="0"/>
        </w:rPr>
        <w:t>OIDC (OpenID Connect)</w:t>
      </w:r>
      <w:r>
        <w:rPr>
          <w:b w:val="0"/>
          <w:i w:val="0"/>
        </w:rPr>
        <w:t xml:space="preserve"> → Capa de identidad sobre OAuth 2.0; añade ID token y UserInfo. → </w:t>
      </w:r>
      <w:r>
        <w:rPr>
          <w:b/>
          <w:i w:val="0"/>
        </w:rPr>
        <w:t>OpenID Connect Core 1.0, final el 26 de febrero de 2014</w:t>
      </w:r>
      <w:r>
        <w:rPr>
          <w:b w:val="0"/>
          <w:i w:val="0"/>
        </w:rPr>
        <w:t>.</w:t>
      </w:r>
    </w:p>
    <w:p>
      <w:pPr>
        <w:pStyle w:val="ListBullet"/>
      </w:pPr>
      <w:r>
        <w:rPr>
          <w:b/>
          <w:i w:val="0"/>
        </w:rPr>
        <w:t>OAuth 1.0</w:t>
      </w:r>
      <w:r>
        <w:rPr>
          <w:b w:val="0"/>
          <w:i w:val="0"/>
        </w:rPr>
        <w:t xml:space="preserve"> → Firma HMAC de cada request con secreto compartido. → </w:t>
      </w:r>
      <w:r>
        <w:rPr>
          <w:b/>
          <w:i w:val="0"/>
        </w:rPr>
        <w:t>Especificación comunitaria, diciembre 2007; RFC 5849, abril 2010</w:t>
      </w:r>
      <w:r>
        <w:rPr>
          <w:b w:val="0"/>
          <w:i w:val="0"/>
        </w:rPr>
        <w:t>.</w:t>
      </w:r>
    </w:p>
    <w:p>
      <w:pPr>
        <w:pStyle w:val="ListBullet"/>
      </w:pPr>
      <w:r>
        <w:rPr>
          <w:b/>
          <w:i w:val="0"/>
        </w:rPr>
        <w:t>OAuth 2.0</w:t>
      </w:r>
      <w:r>
        <w:rPr>
          <w:b w:val="0"/>
          <w:i w:val="0"/>
        </w:rPr>
        <w:t xml:space="preserve"> → Marco de autorización delegada; separa cliente, dueño de recurso y servidor de autorización. → </w:t>
      </w:r>
      <w:r>
        <w:rPr>
          <w:b/>
          <w:i w:val="0"/>
        </w:rPr>
        <w:t>RFC 6749, octubre 2012</w:t>
      </w:r>
      <w:r>
        <w:rPr>
          <w:b w:val="0"/>
          <w:i w:val="0"/>
        </w:rPr>
        <w:t>.</w:t>
      </w:r>
    </w:p>
    <w:p>
      <w:pPr>
        <w:pStyle w:val="ListBullet"/>
      </w:pPr>
      <w:r>
        <w:rPr>
          <w:b/>
          <w:i w:val="0"/>
        </w:rPr>
        <w:t>OAuth 2.1</w:t>
      </w:r>
      <w:r>
        <w:rPr>
          <w:b w:val="0"/>
          <w:i w:val="0"/>
        </w:rPr>
        <w:t xml:space="preserve"> → Consolidación del borrador: sin implicit, sin password grant, sin bearer en query, PKCE obligatorio. → </w:t>
      </w:r>
      <w:r>
        <w:rPr>
          <w:b/>
          <w:i w:val="0"/>
        </w:rPr>
        <w:t>Borrador del IETF OAuth WG, desde 2022</w:t>
      </w:r>
      <w:r>
        <w:rPr>
          <w:b w:val="0"/>
          <w:i w:val="0"/>
        </w:rPr>
        <w:t>.</w:t>
      </w:r>
    </w:p>
    <w:p>
      <w:pPr>
        <w:pStyle w:val="ListBullet"/>
      </w:pPr>
      <w:r>
        <w:rPr>
          <w:b/>
          <w:i w:val="0"/>
        </w:rPr>
        <w:t>Opaque token</w:t>
      </w:r>
      <w:r>
        <w:rPr>
          <w:b w:val="0"/>
          <w:i w:val="0"/>
        </w:rPr>
        <w:t xml:space="preserve"> → String no legible por el validador; requiere introspección. → </w:t>
      </w:r>
      <w:r>
        <w:rPr>
          <w:b/>
          <w:i w:val="0"/>
        </w:rPr>
        <w:t>Modelo previo a OAuth; reglamentado en RFC 7662, octubre 2015</w:t>
      </w:r>
      <w:r>
        <w:rPr>
          <w:b w:val="0"/>
          <w:i w:val="0"/>
        </w:rPr>
        <w:t>.</w:t>
      </w:r>
    </w:p>
    <w:p>
      <w:pPr>
        <w:pStyle w:val="ListBullet"/>
      </w:pPr>
      <w:r>
        <w:rPr>
          <w:b/>
          <w:i w:val="0"/>
        </w:rPr>
        <w:t>OTP / TOTP</w:t>
      </w:r>
      <w:r>
        <w:rPr>
          <w:b w:val="0"/>
          <w:i w:val="0"/>
        </w:rPr>
        <w:t xml:space="preserve"> → Código de un solo uso o basado en tiempo. → </w:t>
      </w:r>
      <w:r>
        <w:rPr>
          <w:b/>
          <w:i w:val="0"/>
        </w:rPr>
        <w:t>HOTP: RFC 4226 (2005); TOTP: RFC 6238 (2011)</w:t>
      </w:r>
      <w:r>
        <w:rPr>
          <w:b w:val="0"/>
          <w:i w:val="0"/>
        </w:rPr>
        <w:t>.</w:t>
      </w:r>
    </w:p>
    <w:p>
      <w:pPr>
        <w:pStyle w:val="ListBullet"/>
      </w:pPr>
      <w:r>
        <w:rPr>
          <w:b/>
          <w:i w:val="0"/>
        </w:rPr>
        <w:t>Passkey</w:t>
      </w:r>
      <w:r>
        <w:rPr>
          <w:b w:val="0"/>
          <w:i w:val="0"/>
        </w:rPr>
        <w:t xml:space="preserve"> → Par de claves sincronizable que reemplaza a la password; resistente a phishing. → </w:t>
      </w:r>
      <w:r>
        <w:rPr>
          <w:b/>
          <w:i w:val="0"/>
        </w:rPr>
        <w:t>WebAuthn: Recomendación W3C, marzo 2019; passkeys: FIDO Alliance, 2022</w:t>
      </w:r>
      <w:r>
        <w:rPr>
          <w:b w:val="0"/>
          <w:i w:val="0"/>
        </w:rPr>
        <w:t>.</w:t>
      </w:r>
    </w:p>
    <w:p>
      <w:pPr>
        <w:pStyle w:val="ListBullet"/>
      </w:pPr>
      <w:r>
        <w:rPr>
          <w:b/>
          <w:i w:val="0"/>
        </w:rPr>
        <w:t>PKCE</w:t>
      </w:r>
      <w:r>
        <w:rPr>
          <w:b w:val="0"/>
          <w:i w:val="0"/>
        </w:rPr>
        <w:t xml:space="preserve"> → Verificador/Desafío que impide que un código robado por un cliente público sea canjeado. → </w:t>
      </w:r>
      <w:r>
        <w:rPr>
          <w:b/>
          <w:i w:val="0"/>
        </w:rPr>
        <w:t>RFC 7636, agosto 2015</w:t>
      </w:r>
      <w:r>
        <w:rPr>
          <w:b w:val="0"/>
          <w:i w:val="0"/>
        </w:rPr>
        <w:t xml:space="preserve">; obligatorio en </w:t>
      </w:r>
      <w:r>
        <w:rPr>
          <w:b/>
          <w:i w:val="0"/>
        </w:rPr>
        <w:t>RFC 9700, enero 2025</w:t>
      </w:r>
      <w:r>
        <w:rPr>
          <w:b w:val="0"/>
          <w:i w:val="0"/>
        </w:rPr>
        <w:t>.</w:t>
      </w:r>
    </w:p>
    <w:p>
      <w:pPr>
        <w:pStyle w:val="ListBullet"/>
      </w:pPr>
      <w:r>
        <w:rPr>
          <w:b/>
          <w:i w:val="0"/>
        </w:rPr>
        <w:t>`prompt=login` / step-up</w:t>
      </w:r>
      <w:r>
        <w:rPr>
          <w:b w:val="0"/>
          <w:i w:val="0"/>
        </w:rPr>
        <w:t xml:space="preserve"> → Exigir re-autenticación o mayor nivel de garantía para una operación. → </w:t>
      </w:r>
      <w:r>
        <w:rPr>
          <w:b/>
          <w:i w:val="0"/>
        </w:rPr>
        <w:t>OIDC Core, 2014</w:t>
      </w:r>
      <w:r>
        <w:rPr>
          <w:b w:val="0"/>
          <w:i w:val="0"/>
        </w:rPr>
        <w:t>.</w:t>
      </w:r>
    </w:p>
    <w:p>
      <w:pPr>
        <w:pStyle w:val="ListBullet"/>
      </w:pPr>
      <w:r>
        <w:rPr>
          <w:b/>
          <w:i w:val="0"/>
        </w:rPr>
        <w:t>Refresh token</w:t>
      </w:r>
      <w:r>
        <w:rPr>
          <w:b w:val="0"/>
          <w:i w:val="0"/>
        </w:rPr>
        <w:t xml:space="preserve"> → Token largo que obtiene nuevos access tokens sin repetir consentimiento. → </w:t>
      </w:r>
      <w:r>
        <w:rPr>
          <w:b/>
          <w:i w:val="0"/>
        </w:rPr>
        <w:t>RFC 6749 §§1.5 y 6, octubre 2012</w:t>
      </w:r>
      <w:r>
        <w:rPr>
          <w:b w:val="0"/>
          <w:i w:val="0"/>
        </w:rPr>
        <w:t xml:space="preserve">; rotación sugerida en §10.4 y obligatoria para clientes públicos en </w:t>
      </w:r>
      <w:r>
        <w:rPr>
          <w:b/>
          <w:i w:val="0"/>
        </w:rPr>
        <w:t>RFC 9700, 2025</w:t>
      </w:r>
      <w:r>
        <w:rPr>
          <w:b w:val="0"/>
          <w:i w:val="0"/>
        </w:rPr>
        <w:t>.</w:t>
      </w:r>
    </w:p>
    <w:p>
      <w:pPr>
        <w:pStyle w:val="ListBullet"/>
      </w:pPr>
      <w:r>
        <w:rPr>
          <w:b/>
          <w:i w:val="0"/>
        </w:rPr>
        <w:t>Revocación de tokens</w:t>
      </w:r>
      <w:r>
        <w:rPr>
          <w:b w:val="0"/>
          <w:i w:val="0"/>
        </w:rPr>
        <w:t xml:space="preserve"> → Endpoint para invalidar access/refresh tokens antes de su expiración. → </w:t>
      </w:r>
      <w:r>
        <w:rPr>
          <w:b/>
          <w:i w:val="0"/>
        </w:rPr>
        <w:t>RFC 7009, octubre 2013</w:t>
      </w:r>
      <w:r>
        <w:rPr>
          <w:b w:val="0"/>
          <w:i w:val="0"/>
        </w:rPr>
        <w:t>.</w:t>
      </w:r>
    </w:p>
    <w:p>
      <w:pPr>
        <w:pStyle w:val="ListBullet"/>
      </w:pPr>
      <w:r>
        <w:rPr>
          <w:b/>
          <w:i w:val="0"/>
        </w:rPr>
        <w:t>RFC</w:t>
      </w:r>
      <w:r>
        <w:rPr>
          <w:b w:val="0"/>
          <w:i w:val="0"/>
        </w:rPr>
        <w:t xml:space="preserve"> → Documento de estándar de la IETF; "BCP" es Best Current Practice. → </w:t>
      </w:r>
      <w:r>
        <w:rPr>
          <w:b/>
          <w:i w:val="0"/>
        </w:rPr>
        <w:t>IETF; RFC 2026 (1996) define el proceso</w:t>
      </w:r>
      <w:r>
        <w:rPr>
          <w:b w:val="0"/>
          <w:i w:val="0"/>
        </w:rPr>
        <w:t>.</w:t>
      </w:r>
    </w:p>
    <w:p>
      <w:pPr>
        <w:pStyle w:val="ListBullet"/>
      </w:pPr>
      <w:r>
        <w:rPr>
          <w:b/>
          <w:i w:val="0"/>
        </w:rPr>
        <w:t>`scope`</w:t>
      </w:r>
      <w:r>
        <w:rPr>
          <w:b w:val="0"/>
          <w:i w:val="0"/>
        </w:rPr>
        <w:t xml:space="preserve"> → Alcance del permiso otorgado (qué operaciones, qué recursos). → </w:t>
      </w:r>
      <w:r>
        <w:rPr>
          <w:b/>
          <w:i w:val="0"/>
        </w:rPr>
        <w:t>RFC 6749 §3.3, octubre 2012</w:t>
      </w:r>
      <w:r>
        <w:rPr>
          <w:b w:val="0"/>
          <w:i w:val="0"/>
        </w:rPr>
        <w:t>.</w:t>
      </w:r>
    </w:p>
    <w:p>
      <w:pPr>
        <w:pStyle w:val="ListBullet"/>
      </w:pPr>
      <w:r>
        <w:rPr>
          <w:b/>
          <w:i w:val="0"/>
        </w:rPr>
        <w:t>Sender-constrained token</w:t>
      </w:r>
      <w:r>
        <w:rPr>
          <w:b w:val="0"/>
          <w:i w:val="0"/>
        </w:rPr>
        <w:t xml:space="preserve"> → Token atado a su portador (certificado o clave privada). → </w:t>
      </w:r>
      <w:r>
        <w:rPr>
          <w:b/>
          <w:i w:val="0"/>
        </w:rPr>
        <w:t>RFC 8705 (2020)</w:t>
      </w:r>
      <w:r>
        <w:rPr>
          <w:b w:val="0"/>
          <w:i w:val="0"/>
        </w:rPr>
        <w:t xml:space="preserve"> y </w:t>
      </w:r>
      <w:r>
        <w:rPr>
          <w:b/>
          <w:i w:val="0"/>
        </w:rPr>
        <w:t>RFC 9449 (2023)</w:t>
      </w:r>
      <w:r>
        <w:rPr>
          <w:b w:val="0"/>
          <w:i w:val="0"/>
        </w:rPr>
        <w:t xml:space="preserve">; recomendado por </w:t>
      </w:r>
      <w:r>
        <w:rPr>
          <w:b/>
          <w:i w:val="0"/>
        </w:rPr>
        <w:t>RFC 9700 (2025)</w:t>
      </w:r>
      <w:r>
        <w:rPr>
          <w:b w:val="0"/>
          <w:i w:val="0"/>
        </w:rPr>
        <w:t>.</w:t>
      </w:r>
    </w:p>
    <w:p>
      <w:pPr>
        <w:pStyle w:val="ListBullet"/>
      </w:pPr>
      <w:r>
        <w:rPr>
          <w:b/>
          <w:i w:val="0"/>
        </w:rPr>
        <w:t>Session cookie</w:t>
      </w:r>
      <w:r>
        <w:rPr>
          <w:b w:val="0"/>
          <w:i w:val="0"/>
        </w:rPr>
        <w:t xml:space="preserve"> → Cookie que identifica una sesión en el servidor. → </w:t>
      </w:r>
      <w:r>
        <w:rPr>
          <w:b/>
          <w:i w:val="0"/>
        </w:rPr>
        <w:t>Netscape, 1996; RFC 6265, abril 2011</w:t>
      </w:r>
      <w:r>
        <w:rPr>
          <w:b w:val="0"/>
          <w:i w:val="0"/>
        </w:rPr>
        <w:t>.</w:t>
      </w:r>
    </w:p>
    <w:p>
      <w:pPr>
        <w:pStyle w:val="ListBullet"/>
      </w:pPr>
      <w:r>
        <w:rPr>
          <w:b/>
          <w:i w:val="0"/>
        </w:rPr>
        <w:t>SAML</w:t>
      </w:r>
      <w:r>
        <w:rPr>
          <w:b w:val="0"/>
          <w:i w:val="0"/>
        </w:rPr>
        <w:t xml:space="preserve"> → Aserción XML federada firmada. → </w:t>
      </w:r>
      <w:r>
        <w:rPr>
          <w:b/>
          <w:i w:val="0"/>
        </w:rPr>
        <w:t>OASIS SAML 1.0, noviembre 2002; SAML 2.0, marzo 2005</w:t>
      </w:r>
      <w:r>
        <w:rPr>
          <w:b w:val="0"/>
          <w:i w:val="0"/>
        </w:rPr>
        <w:t>.</w:t>
      </w:r>
    </w:p>
    <w:p>
      <w:pPr>
        <w:pStyle w:val="ListBullet"/>
      </w:pPr>
      <w:r>
        <w:rPr>
          <w:b/>
          <w:i w:val="0"/>
        </w:rPr>
        <w:t>Token Binding</w:t>
      </w:r>
      <w:r>
        <w:rPr>
          <w:b w:val="0"/>
          <w:i w:val="0"/>
        </w:rPr>
        <w:t xml:space="preserve"> → Protocolo para atar tokens al canal TLS; sin adopción práctica. → </w:t>
      </w:r>
      <w:r>
        <w:rPr>
          <w:b/>
          <w:i w:val="0"/>
        </w:rPr>
        <w:t>RFC 8471-8473, octubre 2018</w:t>
      </w:r>
      <w:r>
        <w:rPr>
          <w:b w:val="0"/>
          <w:i w:val="0"/>
        </w:rPr>
        <w:t>.</w:t>
      </w:r>
    </w:p>
    <w:p>
      <w:pPr>
        <w:pStyle w:val="ListBullet"/>
      </w:pPr>
      <w:r>
        <w:rPr>
          <w:b/>
          <w:i w:val="0"/>
        </w:rPr>
        <w:t>Token MAC (tipo `mac`)</w:t>
      </w:r>
      <w:r>
        <w:rPr>
          <w:b w:val="0"/>
          <w:i w:val="0"/>
        </w:rPr>
        <w:t xml:space="preserve"> → Tipo de token de OAuth 2.0 que firmaba cada request; abandonado. → </w:t>
      </w:r>
      <w:r>
        <w:rPr>
          <w:b/>
          <w:i w:val="0"/>
        </w:rPr>
        <w:t>Borrador `HTTP Authentication: MAC Access Authentication`, febrero 2012 (referencia de RFC 6749); nunca llegó a RFC</w:t>
      </w:r>
      <w:r>
        <w:rPr>
          <w:b w:val="0"/>
          <w:i w:val="0"/>
        </w:rPr>
        <w:t>.</w:t>
      </w:r>
    </w:p>
    <w:p>
      <w:pPr>
        <w:pStyle w:val="ListBullet"/>
      </w:pPr>
      <w:r>
        <w:rPr>
          <w:b/>
          <w:i w:val="0"/>
        </w:rPr>
        <w:t>XSS / CSRF</w:t>
      </w:r>
      <w:r>
        <w:rPr>
          <w:b w:val="0"/>
          <w:i w:val="0"/>
        </w:rPr>
        <w:t xml:space="preserve"> → Inyección de script en página / forzamiento de petición autenticada. Motivan el dilema cookie vs. cabecera. → </w:t>
      </w:r>
      <w:r>
        <w:rPr>
          <w:b/>
          <w:i w:val="0"/>
        </w:rPr>
        <w:t>Términos de industria popularizados ~2000-2005; mitigaciones: SameSite (RFC 6265bis, 2016-)</w:t>
      </w:r>
      <w:r>
        <w:rPr>
          <w:b w:val="0"/>
          <w:i w:val="0"/>
        </w:rPr>
        <w:t>.</w:t>
      </w:r>
    </w:p>
    <w:p>
      <w:r>
        <w:br w:type="page"/>
      </w:r>
    </w:p>
    <w:p>
      <w:pPr>
        <w:pStyle w:val="Heading1"/>
      </w:pPr>
      <w:r>
        <w:t>BIBLIOGRAFÍA</w:t>
      </w:r>
    </w:p>
    <w:p>
      <w:pPr>
        <w:pStyle w:val="Heading2"/>
      </w:pPr>
      <w:r>
        <w:t>Normas IETF (fuente primaria)</w:t>
      </w:r>
    </w:p>
    <w:p>
      <w:pPr>
        <w:pStyle w:val="ListBullet"/>
      </w:pPr>
      <w:hyperlink r:id="rId28">
        <w:r>
          <w:rPr>
            <w:color w:val="0563C1"/>
            <w:u w:val="single"/>
          </w:rPr>
          <w:t xml:space="preserve">RFC 2617 — HTTP Basic/Digest (1999)</w:t>
        </w:r>
      </w:hyperlink>
      <w:r>
        <w:rPr>
          <w:b w:val="0"/>
          <w:i w:val="0"/>
        </w:rPr>
        <w:t xml:space="preserve"> · </w:t>
      </w:r>
      <w:hyperlink r:id="rId29">
        <w:r>
          <w:rPr>
            <w:color w:val="0563C1"/>
            <w:u w:val="single"/>
          </w:rPr>
          <w:t xml:space="preserve">RFC 7616 (2015)</w:t>
        </w:r>
      </w:hyperlink>
    </w:p>
    <w:p>
      <w:pPr>
        <w:pStyle w:val="ListBullet"/>
      </w:pPr>
      <w:hyperlink r:id="rId30">
        <w:r>
          <w:rPr>
            <w:color w:val="0563C1"/>
            <w:u w:val="single"/>
          </w:rPr>
          <w:t xml:space="preserve">RFC 6265 — HTTP State Management Mechanism / cookies (2011)</w:t>
        </w:r>
      </w:hyperlink>
    </w:p>
    <w:p>
      <w:pPr>
        <w:pStyle w:val="ListBullet"/>
      </w:pPr>
      <w:hyperlink r:id="rId31">
        <w:r>
          <w:rPr>
            <w:color w:val="0563C1"/>
            <w:u w:val="single"/>
          </w:rPr>
          <w:t xml:space="preserve">RFC 5849 — The OAuth 1.0 Protocol (2010)</w:t>
        </w:r>
      </w:hyperlink>
    </w:p>
    <w:p>
      <w:pPr>
        <w:pStyle w:val="ListBullet"/>
      </w:pPr>
      <w:hyperlink r:id="rId32">
        <w:r>
          <w:rPr>
            <w:color w:val="0563C1"/>
            <w:u w:val="single"/>
          </w:rPr>
          <w:t xml:space="preserve">RFC 6749 — The OAuth 2.0 Authorization Framework (oct 2012)</w:t>
        </w:r>
      </w:hyperlink>
    </w:p>
    <w:p>
      <w:pPr>
        <w:pStyle w:val="ListBullet"/>
      </w:pPr>
      <w:hyperlink r:id="rId33">
        <w:r>
          <w:rPr>
            <w:color w:val="0563C1"/>
            <w:u w:val="single"/>
          </w:rPr>
          <w:t xml:space="preserve">RFC 6750 — Bearer Token Usage (oct 2012)</w:t>
        </w:r>
      </w:hyperlink>
    </w:p>
    <w:p>
      <w:pPr>
        <w:pStyle w:val="ListBullet"/>
      </w:pPr>
      <w:hyperlink r:id="rId26">
        <w:r>
          <w:rPr>
            <w:color w:val="0563C1"/>
            <w:u w:val="single"/>
          </w:rPr>
          <w:t xml:space="preserve">RFC 6819 — OAuth 2.0 Threat Model (2013, reemplazado por RFC 9700)</w:t>
        </w:r>
      </w:hyperlink>
    </w:p>
    <w:p>
      <w:pPr>
        <w:pStyle w:val="ListBullet"/>
      </w:pPr>
      <w:hyperlink r:id="rId19">
        <w:r>
          <w:rPr>
            <w:color w:val="0563C1"/>
            <w:u w:val="single"/>
          </w:rPr>
          <w:t xml:space="preserve">RFC 7009 — Token Revocation (2013)</w:t>
        </w:r>
      </w:hyperlink>
    </w:p>
    <w:p>
      <w:pPr>
        <w:pStyle w:val="ListBullet"/>
      </w:pPr>
      <w:hyperlink r:id="rId34">
        <w:r>
          <w:rPr>
            <w:color w:val="0563C1"/>
            <w:u w:val="single"/>
          </w:rPr>
          <w:t xml:space="preserve">RFC 7636 — PKCE (ago 2015)</w:t>
        </w:r>
      </w:hyperlink>
    </w:p>
    <w:p>
      <w:pPr>
        <w:pStyle w:val="ListBullet"/>
      </w:pPr>
      <w:hyperlink r:id="rId35">
        <w:r>
          <w:rPr>
            <w:color w:val="0563C1"/>
            <w:u w:val="single"/>
          </w:rPr>
          <w:t xml:space="preserve">RFC 7515/7516/7517/7518/7519 — JOSE + JWT (may 2015)</w:t>
        </w:r>
      </w:hyperlink>
    </w:p>
    <w:p>
      <w:pPr>
        <w:pStyle w:val="ListBullet"/>
      </w:pPr>
      <w:hyperlink r:id="rId36">
        <w:r>
          <w:rPr>
            <w:color w:val="0563C1"/>
            <w:u w:val="single"/>
          </w:rPr>
          <w:t xml:space="preserve">RFC 7522 — SAML 2.0 Bearer Assertion Profiles for OAuth 2.0 (2015)</w:t>
        </w:r>
      </w:hyperlink>
      <w:r>
        <w:rPr>
          <w:b w:val="0"/>
          <w:i w:val="0"/>
        </w:rPr>
        <w:t xml:space="preserve"> · </w:t>
      </w:r>
      <w:hyperlink r:id="rId37">
        <w:r>
          <w:rPr>
            <w:color w:val="0563C1"/>
            <w:u w:val="single"/>
          </w:rPr>
          <w:t xml:space="preserve">RFC 7523 — JWT para client auth (2015)</w:t>
        </w:r>
      </w:hyperlink>
    </w:p>
    <w:p>
      <w:pPr>
        <w:pStyle w:val="ListBullet"/>
      </w:pPr>
      <w:hyperlink r:id="rId38">
        <w:r>
          <w:rPr>
            <w:color w:val="0563C1"/>
            <w:u w:val="single"/>
          </w:rPr>
          <w:t xml:space="preserve">RFC 7662 — Token Introspection (oct 2015)</w:t>
        </w:r>
      </w:hyperlink>
    </w:p>
    <w:p>
      <w:pPr>
        <w:pStyle w:val="ListBullet"/>
      </w:pPr>
      <w:hyperlink r:id="rId39">
        <w:r>
          <w:rPr>
            <w:color w:val="0563C1"/>
            <w:u w:val="single"/>
          </w:rPr>
          <w:t xml:space="preserve">RFC 8176 — Authentication Method Reference (ago 2017)</w:t>
        </w:r>
      </w:hyperlink>
    </w:p>
    <w:p>
      <w:pPr>
        <w:pStyle w:val="ListBullet"/>
      </w:pPr>
      <w:hyperlink r:id="rId40">
        <w:r>
          <w:rPr>
            <w:color w:val="0563C1"/>
            <w:u w:val="single"/>
          </w:rPr>
          <w:t xml:space="preserve">RFC 8252 — OAuth 2.0 for Native Apps (2017)</w:t>
        </w:r>
      </w:hyperlink>
    </w:p>
    <w:p>
      <w:pPr>
        <w:pStyle w:val="ListBullet"/>
      </w:pPr>
      <w:hyperlink r:id="rId41">
        <w:r>
          <w:rPr>
            <w:color w:val="0563C1"/>
            <w:u w:val="single"/>
          </w:rPr>
          <w:t xml:space="preserve">RFC 8471/8472/8473 — Token Binding (2018)</w:t>
        </w:r>
      </w:hyperlink>
    </w:p>
    <w:p>
      <w:pPr>
        <w:pStyle w:val="ListBullet"/>
      </w:pPr>
      <w:hyperlink r:id="rId42">
        <w:r>
          <w:rPr>
            <w:color w:val="0563C1"/>
            <w:u w:val="single"/>
          </w:rPr>
          <w:t xml:space="preserve">RFC 8705 — mTLS y token atado a certificado (feb 2020)</w:t>
        </w:r>
      </w:hyperlink>
    </w:p>
    <w:p>
      <w:pPr>
        <w:pStyle w:val="ListBullet"/>
      </w:pPr>
      <w:hyperlink r:id="rId24">
        <w:r>
          <w:rPr>
            <w:color w:val="0563C1"/>
            <w:u w:val="single"/>
          </w:rPr>
          <w:t xml:space="preserve">RFC 8725 — JWT Best Current Practices (feb 2020)</w:t>
        </w:r>
      </w:hyperlink>
    </w:p>
    <w:p>
      <w:pPr>
        <w:pStyle w:val="ListBullet"/>
      </w:pPr>
      <w:hyperlink r:id="rId43">
        <w:r>
          <w:rPr>
            <w:color w:val="0563C1"/>
            <w:u w:val="single"/>
          </w:rPr>
          <w:t xml:space="preserve">RFC 9068 — JWT Profile for OAuth 2.0 Access Tokens (may 2021)</w:t>
        </w:r>
      </w:hyperlink>
    </w:p>
    <w:p>
      <w:pPr>
        <w:pStyle w:val="ListBullet"/>
      </w:pPr>
      <w:hyperlink r:id="rId44">
        <w:r>
          <w:rPr>
            <w:color w:val="0563C1"/>
            <w:u w:val="single"/>
          </w:rPr>
          <w:t xml:space="preserve">RFC 9449 — DPoP (oct 2023)</w:t>
        </w:r>
      </w:hyperlink>
    </w:p>
    <w:p>
      <w:pPr>
        <w:pStyle w:val="ListBullet"/>
      </w:pPr>
      <w:hyperlink r:id="rId45">
        <w:r>
          <w:rPr>
            <w:color w:val="0563C1"/>
            <w:u w:val="single"/>
          </w:rPr>
          <w:t xml:space="preserve">RFC 9700 — Best Current Practice for OAuth 2.0 Security (ene 2025)</w:t>
        </w:r>
      </w:hyperlink>
    </w:p>
    <w:p>
      <w:pPr>
        <w:pStyle w:val="Heading2"/>
      </w:pPr>
      <w:r>
        <w:t>Identidad, autenticación y perfiles</w:t>
      </w:r>
    </w:p>
    <w:p>
      <w:pPr>
        <w:pStyle w:val="ListBullet"/>
      </w:pPr>
      <w:hyperlink r:id="rId46">
        <w:r>
          <w:rPr>
            <w:color w:val="0563C1"/>
            <w:u w:val="single"/>
          </w:rPr>
          <w:t xml:space="preserve">OpenID Connect Core 1.0</w:t>
        </w:r>
      </w:hyperlink>
      <w:r>
        <w:rPr>
          <w:b w:val="0"/>
          <w:i w:val="0"/>
        </w:rPr>
        <w:t xml:space="preserve"> — final el 26 de febrero de 2014 (</w:t>
      </w:r>
      <w:hyperlink r:id="rId47">
        <w:r>
          <w:rPr>
            <w:color w:val="0563C1"/>
            <w:u w:val="single"/>
          </w:rPr>
          <w:t xml:space="preserve">anuncio</w:t>
        </w:r>
      </w:hyperlink>
      <w:r>
        <w:rPr>
          <w:b w:val="0"/>
          <w:i w:val="0"/>
        </w:rPr>
        <w:t>)</w:t>
      </w:r>
    </w:p>
    <w:p>
      <w:pPr>
        <w:pStyle w:val="ListBullet"/>
      </w:pPr>
      <w:hyperlink r:id="rId11">
        <w:r>
          <w:rPr>
            <w:color w:val="0563C1"/>
            <w:u w:val="single"/>
          </w:rPr>
          <w:t xml:space="preserve">NIST SP 800-63-4 — Digital Identity Guidelines (jul 2025)</w:t>
        </w:r>
      </w:hyperlink>
      <w:r>
        <w:rPr>
          <w:b w:val="0"/>
          <w:i w:val="0"/>
        </w:rPr>
        <w:t xml:space="preserve"> · </w:t>
      </w:r>
      <w:hyperlink r:id="rId12">
        <w:r>
          <w:rPr>
            <w:color w:val="0563C1"/>
            <w:u w:val="single"/>
          </w:rPr>
          <w:t xml:space="preserve">SP 800-63B-4 (autenticación)</w:t>
        </w:r>
      </w:hyperlink>
      <w:r>
        <w:rPr>
          <w:b w:val="0"/>
          <w:i w:val="0"/>
        </w:rPr>
        <w:t xml:space="preserve"> · </w:t>
      </w:r>
      <w:hyperlink r:id="rId48">
        <w:r>
          <w:rPr>
            <w:color w:val="0563C1"/>
            <w:u w:val="single"/>
          </w:rPr>
          <w:t xml:space="preserve">página CSRC</w:t>
        </w:r>
      </w:hyperlink>
    </w:p>
    <w:p>
      <w:pPr>
        <w:pStyle w:val="ListBullet"/>
      </w:pPr>
      <w:hyperlink r:id="rId49">
        <w:r>
          <w:rPr>
            <w:color w:val="0563C1"/>
            <w:u w:val="single"/>
          </w:rPr>
          <w:t xml:space="preserve">AWS Signature Version 4</w:t>
        </w:r>
      </w:hyperlink>
      <w:r>
        <w:rPr>
          <w:b w:val="0"/>
          <w:i w:val="0"/>
        </w:rPr>
        <w:t xml:space="preserve"> · </w:t>
      </w:r>
      <w:hyperlink r:id="rId50">
        <w:r>
          <w:rPr>
            <w:color w:val="0563C1"/>
            <w:u w:val="single"/>
          </w:rPr>
          <w:t xml:space="preserve">SPIFFE</w:t>
        </w:r>
      </w:hyperlink>
    </w:p>
    <w:p>
      <w:pPr>
        <w:pStyle w:val="Heading2"/>
      </w:pPr>
      <w:r>
        <w:t>OWASP</w:t>
      </w:r>
    </w:p>
    <w:p>
      <w:pPr>
        <w:pStyle w:val="ListBullet"/>
      </w:pPr>
      <w:hyperlink r:id="rId27">
        <w:r>
          <w:rPr>
            <w:color w:val="0563C1"/>
            <w:u w:val="single"/>
          </w:rPr>
          <w:t xml:space="preserve">OWASP API Security Top 10 — edición 2023</w:t>
        </w:r>
      </w:hyperlink>
      <w:r>
        <w:rPr>
          <w:b w:val="0"/>
          <w:i w:val="0"/>
        </w:rPr>
        <w:t xml:space="preserve"> · </w:t>
      </w:r>
      <w:hyperlink r:id="rId51">
        <w:r>
          <w:rPr>
            <w:color w:val="0563C1"/>
            <w:u w:val="single"/>
          </w:rPr>
          <w:t xml:space="preserve">proyecto OWASP API Security</w:t>
        </w:r>
      </w:hyperlink>
    </w:p>
    <w:p>
      <w:pPr>
        <w:pStyle w:val="ListBullet"/>
      </w:pPr>
      <w:hyperlink r:id="rId10">
        <w:r>
          <w:rPr>
            <w:color w:val="0563C1"/>
            <w:u w:val="single"/>
          </w:rPr>
          <w:t xml:space="preserve">OWASP JWT Cheat Sheet</w:t>
        </w:r>
      </w:hyperlink>
      <w:r>
        <w:rPr>
          <w:b w:val="0"/>
          <w:i w:val="0"/>
        </w:rPr>
        <w:t xml:space="preserve"> · </w:t>
      </w:r>
      <w:hyperlink r:id="rId52">
        <w:r>
          <w:rPr>
            <w:color w:val="0563C1"/>
            <w:u w:val="single"/>
          </w:rPr>
          <w:t xml:space="preserve">OWASP Authentication Cheat Sheet</w:t>
        </w:r>
      </w:hyperlink>
      <w:r>
        <w:rPr>
          <w:b w:val="0"/>
          <w:i w:val="0"/>
        </w:rPr>
        <w:t xml:space="preserve"> · </w:t>
      </w:r>
      <w:hyperlink r:id="rId53">
        <w:r>
          <w:rPr>
            <w:color w:val="0563C1"/>
            <w:u w:val="single"/>
          </w:rPr>
          <w:t xml:space="preserve">OWASP REST Security Cheat Sheet</w:t>
        </w:r>
      </w:hyperlink>
    </w:p>
    <w:p>
      <w:pPr>
        <w:pStyle w:val="Heading2"/>
      </w:pPr>
      <w:r>
        <w:t>Incidentes y análisis (fuentes primarias)</w:t>
      </w:r>
    </w:p>
    <w:p>
      <w:pPr>
        <w:pStyle w:val="ListBullet"/>
      </w:pPr>
      <w:hyperlink r:id="rId15">
        <w:r>
          <w:rPr>
            <w:color w:val="0563C1"/>
            <w:u w:val="single"/>
          </w:rPr>
          <w:t xml:space="preserve">Meta / Facebook "View As" — actualización oficial (2018)</w:t>
        </w:r>
      </w:hyperlink>
      <w:r>
        <w:rPr>
          <w:b w:val="0"/>
          <w:i w:val="0"/>
        </w:rPr>
        <w:t xml:space="preserve"> · </w:t>
      </w:r>
      <w:hyperlink r:id="rId16">
        <w:r>
          <w:rPr>
            <w:color w:val="0563C1"/>
            <w:u w:val="single"/>
          </w:rPr>
          <w:t xml:space="preserve">KrebsOnSecurity</w:t>
        </w:r>
      </w:hyperlink>
    </w:p>
    <w:p>
      <w:pPr>
        <w:pStyle w:val="ListBullet"/>
      </w:pPr>
      <w:hyperlink r:id="rId17">
        <w:r>
          <w:rPr>
            <w:color w:val="0563C1"/>
            <w:u w:val="single"/>
          </w:rPr>
          <w:t xml:space="preserve">Cloudflare — sesión de Okta comprometida (2023)</w:t>
        </w:r>
      </w:hyperlink>
      <w:r>
        <w:rPr>
          <w:b w:val="0"/>
          <w:i w:val="0"/>
        </w:rPr>
        <w:t xml:space="preserve"> · </w:t>
      </w:r>
      <w:hyperlink r:id="rId18">
        <w:r>
          <w:rPr>
            <w:color w:val="0563C1"/>
            <w:u w:val="single"/>
          </w:rPr>
          <w:t xml:space="preserve">relacionado: Cloudflare y el incidente de Okta de enero de 2022</w:t>
        </w:r>
      </w:hyperlink>
    </w:p>
    <w:p>
      <w:pPr>
        <w:pStyle w:val="ListBullet"/>
      </w:pPr>
      <w:hyperlink r:id="rId20">
        <w:r>
          <w:rPr>
            <w:color w:val="0563C1"/>
            <w:u w:val="single"/>
          </w:rPr>
          <w:t xml:space="preserve">Codecov — actualización oficial del incidente (2021)</w:t>
        </w:r>
      </w:hyperlink>
      <w:r>
        <w:rPr>
          <w:b w:val="0"/>
          <w:i w:val="0"/>
        </w:rPr>
        <w:t xml:space="preserve"> · </w:t>
      </w:r>
      <w:hyperlink r:id="rId21">
        <w:r>
          <w:rPr>
            <w:color w:val="0563C1"/>
            <w:u w:val="single"/>
          </w:rPr>
          <w:t xml:space="preserve">Rapid7</w:t>
        </w:r>
      </w:hyperlink>
    </w:p>
    <w:p>
      <w:pPr>
        <w:pStyle w:val="ListBullet"/>
      </w:pPr>
      <w:hyperlink r:id="rId13">
        <w:r>
          <w:rPr>
            <w:color w:val="0563C1"/>
            <w:u w:val="single"/>
          </w:rPr>
          <w:t xml:space="preserve">NYT — Uber (2022)</w:t>
        </w:r>
      </w:hyperlink>
      <w:r>
        <w:rPr>
          <w:b w:val="0"/>
          <w:i w:val="0"/>
        </w:rPr>
        <w:t xml:space="preserve"> · </w:t>
      </w:r>
      <w:hyperlink r:id="rId14">
        <w:r>
          <w:rPr>
            <w:color w:val="0563C1"/>
            <w:u w:val="single"/>
          </w:rPr>
          <w:t xml:space="preserve">UpGuard — análisis</w:t>
        </w:r>
      </w:hyperlink>
    </w:p>
    <w:p>
      <w:pPr>
        <w:pStyle w:val="ListBullet"/>
      </w:pPr>
      <w:hyperlink r:id="rId9">
        <w:r>
          <w:rPr>
            <w:color w:val="0563C1"/>
            <w:u w:val="single"/>
          </w:rPr>
          <w:t xml:space="preserve">GitGuardian — State of Secrets Sprawl 2026</w:t>
        </w:r>
      </w:hyperlink>
      <w:r>
        <w:rPr>
          <w:b w:val="0"/>
          <w:i w:val="0"/>
        </w:rPr>
        <w:t xml:space="preserve"> · </w:t>
      </w:r>
      <w:hyperlink r:id="rId22">
        <w:r>
          <w:rPr>
            <w:color w:val="0563C1"/>
            <w:u w:val="single"/>
          </w:rPr>
          <w:t xml:space="preserve">resumen en blog</w:t>
        </w:r>
      </w:hyperlink>
    </w:p>
    <w:p>
      <w:pPr>
        <w:pStyle w:val="ListBullet"/>
      </w:pPr>
      <w:hyperlink r:id="rId23">
        <w:r>
          <w:rPr>
            <w:color w:val="0563C1"/>
            <w:u w:val="single"/>
          </w:rPr>
          <w:t xml:space="preserve">Salt Security — Api1 BOLA</w:t>
        </w:r>
      </w:hyperlink>
    </w:p>
    <w:p>
      <w:pPr>
        <w:pStyle w:val="Heading2"/>
      </w:pPr>
      <w:r>
        <w:t>Recursos didácticos</w:t>
      </w:r>
    </w:p>
    <w:p>
      <w:pPr>
        <w:pStyle w:val="ListBullet"/>
      </w:pPr>
      <w:hyperlink r:id="rId54">
        <w:r>
          <w:rPr>
            <w:color w:val="0563C1"/>
            <w:u w:val="single"/>
          </w:rPr>
          <w:t xml:space="preserve">MITRE ATT&amp;CK T1621 — MFA Request Generation</w:t>
        </w:r>
      </w:hyperlink>
    </w:p>
    <w:p>
      <w:pPr>
        <w:pStyle w:val="ListBullet"/>
      </w:pPr>
      <w:hyperlink r:id="rId25">
        <w:r>
          <w:rPr>
            <w:color w:val="0563C1"/>
            <w:u w:val="single"/>
          </w:rPr>
          <w:t xml:space="preserve">PortSwigger Web Security Academy — JWT</w:t>
        </w:r>
      </w:hyperlink>
    </w:p>
    <w:p>
      <w:pPr>
        <w:pStyle w:val="ListBullet"/>
      </w:pPr>
      <w:hyperlink r:id="rId55">
        <w:r>
          <w:rPr>
            <w:color w:val="0563C1"/>
            <w:u w:val="single"/>
          </w:rPr>
          <w:t xml:space="preserve">jwt.io — introducción a JWT</w:t>
        </w:r>
      </w:hyperlink>
    </w:p>
    <w:p>
      <w:r>
        <w:br w:type="page"/>
      </w:r>
    </w:p>
    <w:p>
      <w:pPr>
        <w:pStyle w:val="Heading1"/>
      </w:pPr>
      <w:r>
        <w:t>ANEXO A — Ejemplo uruguayo: observación controlada (opcional)</w:t>
      </w:r>
    </w:p>
    <w:p>
      <w:r>
        <w:rPr>
          <w:b w:val="0"/>
          <w:i/>
        </w:rPr>
        <w:t>Objetivo: mostrar, sin invadir ningún sistema, que un token bearer real del ecosistema uruguayo es visible, extraíble de tu propio navegador y reutilizable en principio por cualquiera que lo tenga. La demostración se apoya en documentación oficial —cero riesgo— y, si vos querés, en una observación de tu propia sesión.</w:t>
      </w:r>
    </w:p>
    <w:p>
      <w:pPr>
        <w:pStyle w:val="Heading2"/>
      </w:pPr>
      <w:r>
        <w:t>A.1 La evidencia documental (cero pruebas, cero riesgo)</w:t>
      </w:r>
    </w:p>
    <w:p>
      <w:r>
        <w:rPr>
          <w:b/>
          <w:i w:val="0"/>
        </w:rPr>
        <w:t>ID Uruguay</w:t>
      </w:r>
      <w:r>
        <w:rPr>
          <w:b w:val="0"/>
          <w:i w:val="0"/>
        </w:rPr>
        <w:t xml:space="preserve">, el proveedor de identidad del Estado uruguayo que gestiona AGESIC, </w:t>
      </w:r>
      <w:r>
        <w:rPr>
          <w:b/>
          <w:i w:val="0"/>
        </w:rPr>
        <w:t>documenta públicamente que emite tokens bearer</w:t>
      </w:r>
      <w:r>
        <w:rPr>
          <w:b w:val="0"/>
          <w:i w:val="0"/>
        </w:rPr>
        <w:t xml:space="preserve">. Su documentación técnica de integración con OpenID Connect muestra el </w:t>
      </w:r>
      <w:r>
        <w:rPr>
          <w:b w:val="0"/>
          <w:i/>
        </w:rPr>
        <w:t>token endpoint</w:t>
      </w:r>
      <w:r>
        <w:rPr>
          <w:b w:val="0"/>
          <w:i w:val="0"/>
        </w:rPr>
        <w:t xml:space="preserve"> </w:t>
      </w:r>
      <w:r>
        <w:rPr>
          <w:rFonts w:ascii="Consolas" w:hAnsi="Consolas"/>
          <w:b w:val="0"/>
          <w:i w:val="0"/>
          <w:color w:val="A03030"/>
        </w:rPr>
        <w:t>/oidc/v1/token</w:t>
      </w:r>
      <w:r>
        <w:rPr>
          <w:b w:val="0"/>
          <w:i w:val="0"/>
        </w:rPr>
        <w:t xml:space="preserve"> y la respuesta con </w:t>
      </w:r>
      <w:r>
        <w:rPr>
          <w:b/>
          <w:i w:val="0"/>
        </w:rPr>
        <w:t>`token_type` = "Bearer"</w:t>
      </w:r>
      <w:r>
        <w:rPr>
          <w:b w:val="0"/>
          <w:i w:val="0"/>
        </w:rPr>
        <w:t xml:space="preserve">, además de ejemplos de llamada a UserInfo con </w:t>
      </w:r>
      <w:r>
        <w:rPr>
          <w:b/>
          <w:i w:val="0"/>
        </w:rPr>
        <w:t>`Authorization: Bearer &lt;token&gt;`</w:t>
      </w:r>
      <w:r>
        <w:rPr>
          <w:b w:val="0"/>
          <w:i w:val="0"/>
        </w:rPr>
        <w:t xml:space="preserve"> y la aclaración de que el </w:t>
      </w:r>
      <w:r>
        <w:rPr>
          <w:b/>
          <w:i w:val="0"/>
        </w:rPr>
        <w:t>ID token es un JWT</w:t>
      </w:r>
      <w:r>
        <w:rPr>
          <w:b w:val="0"/>
          <w:i w:val="0"/>
        </w:rPr>
        <w:t>.</w:t>
      </w:r>
    </w:p>
    <w:p>
      <w:pPr>
        <w:pStyle w:val="ListBullet"/>
      </w:pPr>
      <w:hyperlink r:id="rId56">
        <w:r>
          <w:rPr>
            <w:color w:val="0563C1"/>
            <w:u w:val="single"/>
          </w:rPr>
          <w:t xml:space="preserve">ID Uruguay: integración con OpenID Connect (gub.uy)</w:t>
        </w:r>
      </w:hyperlink>
    </w:p>
    <w:p>
      <w:pPr>
        <w:pStyle w:val="ListBullet"/>
      </w:pPr>
      <w:hyperlink r:id="rId57">
        <w:r>
          <w:rPr>
            <w:color w:val="0563C1"/>
            <w:u w:val="single"/>
          </w:rPr>
          <w:t xml:space="preserve">AGESIC — guía "Desarrollo seguro" (PDF, gub.uy), con ejemplos `Authorization: Bearer`</w:t>
        </w:r>
      </w:hyperlink>
    </w:p>
    <w:p>
      <w:r>
        <w:rPr>
          <w:b/>
          <w:i w:val="0"/>
        </w:rPr>
        <w:t>Guion hablado sugerido (1 minuto):</w:t>
      </w:r>
      <w:r>
        <w:rPr>
          <w:b w:val="0"/>
          <w:i w:val="0"/>
        </w:rPr>
        <w:t xml:space="preserve"> </w:t>
      </w:r>
      <w:r>
        <w:rPr>
          <w:b w:val="0"/>
          <w:i/>
        </w:rPr>
        <w:t>"Esto no es teórico. El Estado uruguayo, a través de ID Uruguay, emite tokens bearer con OpenID Connect — está documentado públicamente. Un token de este tipo es un string que viaja en una cabecera HTTP: cualquiera en posesión de ese string, exactamente igual que con el billete al portador, puede usarlo mientras esté vigente. Esa es toda la tesis de esta charla."</w:t>
      </w:r>
    </w:p>
    <w:p>
      <w:pPr>
        <w:pStyle w:val="Heading2"/>
      </w:pPr>
      <w:r>
        <w:t>A.2 La observación controlada (sólo con tu propia cuenta, sólo lectura)</w:t>
      </w:r>
    </w:p>
    <w:p>
      <w:r>
        <w:rPr>
          <w:b w:val="0"/>
          <w:i w:val="0"/>
        </w:rPr>
        <w:t xml:space="preserve">Si querés mostrar en vivo el token saliendo del navegador, este es el protocolo </w:t>
      </w:r>
      <w:r>
        <w:rPr>
          <w:b/>
          <w:i w:val="0"/>
        </w:rPr>
        <w:t>ético y controlado</w:t>
      </w:r>
      <w:r>
        <w:rPr>
          <w:b w:val="0"/>
          <w:i w:val="0"/>
        </w:rPr>
        <w:t xml:space="preserve"> que recomendamos. No hay escaneo, no hay fuzzing, no hay peticiones automatizadas, no hay cuentas ajenas:</w:t>
      </w:r>
    </w:p>
    <w:p>
      <w:r>
        <w:rPr>
          <w:b w:val="0"/>
          <w:i w:val="0"/>
        </w:rPr>
        <w:t xml:space="preserve">1. </w:t>
      </w:r>
      <w:r>
        <w:rPr>
          <w:b/>
          <w:i w:val="0"/>
        </w:rPr>
        <w:t>Usá exclusivamente una cuenta propia</w:t>
      </w:r>
      <w:r>
        <w:rPr>
          <w:b w:val="0"/>
          <w:i w:val="0"/>
        </w:rPr>
        <w:t xml:space="preserve"> y un flujo de login normal (vía ID Uruguay o cualquier sitio donde seas usuario).</w:t>
      </w:r>
    </w:p>
    <w:p>
      <w:r>
        <w:rPr>
          <w:b w:val="0"/>
          <w:i w:val="0"/>
        </w:rPr>
        <w:t xml:space="preserve">2. </w:t>
      </w:r>
      <w:r>
        <w:rPr>
          <w:b/>
          <w:i w:val="0"/>
        </w:rPr>
        <w:t>Abrí DevTools → Network</w:t>
      </w:r>
      <w:r>
        <w:rPr>
          <w:b w:val="0"/>
          <w:i w:val="0"/>
        </w:rPr>
        <w:t xml:space="preserve">, filtrá por </w:t>
      </w:r>
      <w:r>
        <w:rPr>
          <w:rFonts w:ascii="Consolas" w:hAnsi="Consolas"/>
          <w:b w:val="0"/>
          <w:i w:val="0"/>
          <w:color w:val="A03030"/>
        </w:rPr>
        <w:t>token</w:t>
      </w:r>
      <w:r>
        <w:rPr>
          <w:b w:val="0"/>
          <w:i w:val="0"/>
        </w:rPr>
        <w:t xml:space="preserve"> o </w:t>
      </w:r>
      <w:r>
        <w:rPr>
          <w:rFonts w:ascii="Consolas" w:hAnsi="Consolas"/>
          <w:b w:val="0"/>
          <w:i w:val="0"/>
          <w:color w:val="A03030"/>
        </w:rPr>
        <w:t>authorization</w:t>
      </w:r>
      <w:r>
        <w:rPr>
          <w:b w:val="0"/>
          <w:i w:val="0"/>
        </w:rPr>
        <w:t xml:space="preserve">, y localizá la respuesta del </w:t>
      </w:r>
      <w:r>
        <w:rPr>
          <w:b w:val="0"/>
          <w:i/>
        </w:rPr>
        <w:t>token endpoint</w:t>
      </w:r>
      <w:r>
        <w:rPr>
          <w:b w:val="0"/>
          <w:i w:val="0"/>
        </w:rPr>
        <w:t xml:space="preserve"> o la petición que lleve la cabecera </w:t>
      </w:r>
      <w:r>
        <w:rPr>
          <w:rFonts w:ascii="Consolas" w:hAnsi="Consolas"/>
          <w:b w:val="0"/>
          <w:i w:val="0"/>
          <w:color w:val="A03030"/>
        </w:rPr>
        <w:t>Authorization: Bearer ...</w:t>
      </w:r>
      <w:r>
        <w:rPr>
          <w:b w:val="0"/>
          <w:i w:val="0"/>
        </w:rPr>
        <w:t>.</w:t>
      </w:r>
    </w:p>
    <w:p>
      <w:r>
        <w:rPr>
          <w:b w:val="0"/>
          <w:i w:val="0"/>
        </w:rPr>
        <w:t xml:space="preserve">3. </w:t>
      </w:r>
      <w:r>
        <w:rPr>
          <w:b/>
          <w:i w:val="0"/>
        </w:rPr>
        <w:t>Copiá SOLO tu propio token</w:t>
      </w:r>
      <w:r>
        <w:rPr>
          <w:b w:val="0"/>
          <w:i w:val="0"/>
        </w:rPr>
        <w:t xml:space="preserve"> y descifralo localmente (jwt.io es cliente: el token no viaja a ningún servidor, se decodifica en tu navegador) para mostrar los claims: </w:t>
      </w:r>
      <w:r>
        <w:rPr>
          <w:rFonts w:ascii="Consolas" w:hAnsi="Consolas"/>
          <w:b w:val="0"/>
          <w:i w:val="0"/>
          <w:color w:val="A03030"/>
        </w:rPr>
        <w:t>iss</w:t>
      </w:r>
      <w:r>
        <w:rPr>
          <w:b w:val="0"/>
          <w:i w:val="0"/>
        </w:rPr>
        <w:t xml:space="preserve">, </w:t>
      </w:r>
      <w:r>
        <w:rPr>
          <w:rFonts w:ascii="Consolas" w:hAnsi="Consolas"/>
          <w:b w:val="0"/>
          <w:i w:val="0"/>
          <w:color w:val="A03030"/>
        </w:rPr>
        <w:t>aud</w:t>
      </w:r>
      <w:r>
        <w:rPr>
          <w:b w:val="0"/>
          <w:i w:val="0"/>
        </w:rPr>
        <w:t xml:space="preserve">, </w:t>
      </w:r>
      <w:r>
        <w:rPr>
          <w:rFonts w:ascii="Consolas" w:hAnsi="Consolas"/>
          <w:b w:val="0"/>
          <w:i w:val="0"/>
          <w:color w:val="A03030"/>
        </w:rPr>
        <w:t>exp</w:t>
      </w:r>
      <w:r>
        <w:rPr>
          <w:b w:val="0"/>
          <w:i w:val="0"/>
        </w:rPr>
        <w:t xml:space="preserve">, </w:t>
      </w:r>
      <w:r>
        <w:rPr>
          <w:rFonts w:ascii="Consolas" w:hAnsi="Consolas"/>
          <w:b w:val="0"/>
          <w:i w:val="0"/>
          <w:color w:val="A03030"/>
        </w:rPr>
        <w:t>amr</w:t>
      </w:r>
      <w:r>
        <w:rPr>
          <w:b w:val="0"/>
          <w:i w:val="0"/>
        </w:rPr>
        <w:t xml:space="preserve">, </w:t>
      </w:r>
      <w:r>
        <w:rPr>
          <w:rFonts w:ascii="Consolas" w:hAnsi="Consolas"/>
          <w:b w:val="0"/>
          <w:i w:val="0"/>
          <w:color w:val="A03030"/>
        </w:rPr>
        <w:t>acr</w:t>
      </w:r>
      <w:r>
        <w:rPr>
          <w:b w:val="0"/>
          <w:i w:val="0"/>
        </w:rPr>
        <w:t>.</w:t>
      </w:r>
    </w:p>
    <w:p>
      <w:r>
        <w:rPr>
          <w:b w:val="0"/>
          <w:i w:val="0"/>
        </w:rPr>
        <w:t xml:space="preserve">4. </w:t>
      </w:r>
      <w:r>
        <w:rPr>
          <w:b/>
          <w:i w:val="0"/>
        </w:rPr>
        <w:t>Enmascará el token en la pantalla</w:t>
      </w:r>
      <w:r>
        <w:rPr>
          <w:b w:val="0"/>
          <w:i w:val="0"/>
        </w:rPr>
        <w:t xml:space="preserve"> —mostrá los primeros caracteres y el resto tapado—. Es una charla, no una filtración.</w:t>
      </w:r>
    </w:p>
    <w:p>
      <w:r>
        <w:rPr>
          <w:b w:val="0"/>
          <w:i w:val="0"/>
        </w:rPr>
        <w:t xml:space="preserve">5. </w:t>
      </w:r>
      <w:r>
        <w:rPr>
          <w:b/>
          <w:i w:val="0"/>
        </w:rPr>
        <w:t>No repliques el token contra ningún endpoint.</w:t>
      </w:r>
      <w:r>
        <w:rPr>
          <w:b w:val="0"/>
          <w:i w:val="0"/>
        </w:rPr>
        <w:t xml:space="preserve"> El punto de la charla es que </w:t>
      </w:r>
      <w:r>
        <w:rPr>
          <w:b w:val="0"/>
          <w:i/>
        </w:rPr>
        <w:t>podrías</w:t>
      </w:r>
      <w:r>
        <w:rPr>
          <w:b w:val="0"/>
          <w:i w:val="0"/>
        </w:rPr>
        <w:t xml:space="preserve"> —basta con enunciarlo—; hacerlo agrega riesgo y no agrega información.</w:t>
      </w:r>
    </w:p>
    <w:p>
      <w:r>
        <w:rPr>
          <w:b w:val="0"/>
          <w:i w:val="0"/>
        </w:rPr>
        <w:t xml:space="preserve">6. </w:t>
      </w:r>
      <w:r>
        <w:rPr>
          <w:b/>
          <w:i w:val="0"/>
        </w:rPr>
        <w:t>Al terminar, cerrá sesión.</w:t>
      </w:r>
      <w:r>
        <w:rPr>
          <w:b w:val="0"/>
          <w:i w:val="0"/>
        </w:rPr>
        <w:t xml:space="preserve"> Eso invalida la sesión y, en la mayoría de las implementaciones, hace que el artefacto deje de ser útil.</w:t>
      </w:r>
    </w:p>
    <w:p>
      <w:r>
        <w:rPr>
          <w:b w:val="0"/>
          <w:i w:val="0"/>
        </w:rPr>
        <w:t xml:space="preserve">7. Si el sistema no es tuyo y no tenés autorización, </w:t>
      </w:r>
      <w:r>
        <w:rPr>
          <w:b/>
          <w:i w:val="0"/>
        </w:rPr>
        <w:t>no hagas ninguna prueba</w:t>
      </w:r>
      <w:r>
        <w:rPr>
          <w:b w:val="0"/>
          <w:i w:val="0"/>
        </w:rPr>
        <w:t>: alcanza con la documentación de A.1.</w:t>
      </w:r>
    </w:p>
    <w:p>
      <w:r>
        <w:rPr>
          <w:b/>
          <w:i w:val="0"/>
        </w:rPr>
        <w:t>Frase de cierre del anexo:</w:t>
      </w:r>
      <w:r>
        <w:rPr>
          <w:b w:val="0"/>
          <w:i w:val="0"/>
        </w:rPr>
        <w:t xml:space="preserve"> </w:t>
      </w:r>
      <w:r>
        <w:rPr>
          <w:b w:val="0"/>
          <w:i/>
        </w:rPr>
        <w:t>"No tocamos ningún sistema: miramos un billete al portador en nuestra propia billetera. Y aun así, vimos exactamente por qué esta charla se llama como se llama."</w:t>
      </w:r>
    </w:p>
    <w:p>
      <w:pPr>
        <w:pStyle w:val="Heading2"/>
      </w:pPr>
      <w:r>
        <w:t>A.3 Alternativa si se quiere demostrar reutilización</w:t>
      </w:r>
    </w:p>
    <w:p>
      <w:r>
        <w:rPr>
          <w:b w:val="0"/>
          <w:i w:val="0"/>
        </w:rPr>
        <w:t xml:space="preserve">Si algún día querés mostrar </w:t>
      </w:r>
      <w:r>
        <w:rPr>
          <w:b w:val="0"/>
          <w:i/>
        </w:rPr>
        <w:t>reutilización</w:t>
      </w:r>
      <w:r>
        <w:rPr>
          <w:b w:val="0"/>
          <w:i w:val="0"/>
        </w:rPr>
        <w:t xml:space="preserve"> sin tocar ningún sistema de terceros, la opción correcta es un objetivo </w:t>
      </w:r>
      <w:r>
        <w:rPr>
          <w:b/>
          <w:i w:val="0"/>
        </w:rPr>
        <w:t>diseñado</w:t>
      </w:r>
      <w:r>
        <w:rPr>
          <w:b w:val="0"/>
          <w:i w:val="0"/>
        </w:rPr>
        <w:t xml:space="preserve"> para eso: una API deliberadamente vulnerable propia (proyectos tipo OWASP crAPI o similar) corriendo en tu máquina, o un entorno de staging de tu organización. Nunca un sistema productivo de terceros.</w:t>
      </w:r>
    </w:p>
    <w:p>
      <w:r>
        <w:br w:type="page"/>
      </w:r>
    </w:p>
    <w:p>
      <w:pPr>
        <w:pStyle w:val="Heading1"/>
      </w:pPr>
      <w:r>
        <w:t>ANEXO B — Compresión a 30 minutos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i w:val="0"/>
              </w:rPr>
              <w:t>Bloque</w:t>
            </w:r>
          </w:p>
        </w:tc>
        <w:tc>
          <w:tcPr>
            <w:tcW w:type="dxa" w:w="2412"/>
          </w:tcPr>
          <w:p>
            <w:r>
              <w:rPr>
                <w:b/>
                <w:i w:val="0"/>
              </w:rPr>
              <w:t>Extendido</w:t>
            </w:r>
          </w:p>
        </w:tc>
        <w:tc>
          <w:tcPr>
            <w:tcW w:type="dxa" w:w="2412"/>
          </w:tcPr>
          <w:p>
            <w:r>
              <w:rPr>
                <w:b/>
                <w:i w:val="0"/>
              </w:rPr>
              <w:t>A 30 min</w:t>
            </w:r>
          </w:p>
        </w:tc>
        <w:tc>
          <w:tcPr>
            <w:tcW w:type="dxa" w:w="2412"/>
          </w:tcPr>
          <w:p>
            <w:r>
              <w:rPr>
                <w:b/>
                <w:i w:val="0"/>
              </w:rPr>
              <w:t>Qué se recorta</w:t>
            </w:r>
          </w:p>
        </w:tc>
      </w:tr>
      <w:tr>
        <w:tc>
          <w:tcPr>
            <w:tcW w:type="dxa" w:w="2412"/>
          </w:tcPr>
          <w:p>
            <w:r>
              <w:rPr>
                <w:b w:val="0"/>
                <w:i w:val="0"/>
              </w:rPr>
              <w:t>Apertura</w:t>
            </w:r>
          </w:p>
        </w:tc>
        <w:tc>
          <w:tcPr>
            <w:tcW w:type="dxa" w:w="2412"/>
          </w:tcPr>
          <w:p>
            <w:r>
              <w:rPr>
                <w:b w:val="0"/>
                <w:i w:val="0"/>
              </w:rPr>
              <w:t>4 min</w:t>
            </w:r>
          </w:p>
        </w:tc>
        <w:tc>
          <w:tcPr>
            <w:tcW w:type="dxa" w:w="2412"/>
          </w:tcPr>
          <w:p>
            <w:r>
              <w:rPr>
                <w:b w:val="0"/>
                <w:i w:val="0"/>
              </w:rPr>
              <w:t>2 min</w:t>
            </w:r>
          </w:p>
        </w:tc>
        <w:tc>
          <w:tcPr>
            <w:tcW w:type="dxa" w:w="2412"/>
          </w:tcPr>
          <w:p>
            <w:r>
              <w:rPr>
                <w:b w:val="0"/>
                <w:i w:val="0"/>
              </w:rPr>
              <w:t>—</w:t>
            </w:r>
          </w:p>
        </w:tc>
      </w:tr>
      <w:tr>
        <w:tc>
          <w:tcPr>
            <w:tcW w:type="dxa" w:w="2412"/>
          </w:tcPr>
          <w:p>
            <w:r>
              <w:rPr>
                <w:b w:val="0"/>
                <w:i w:val="0"/>
              </w:rPr>
              <w:t>1. Historia</w:t>
            </w:r>
          </w:p>
        </w:tc>
        <w:tc>
          <w:tcPr>
            <w:tcW w:type="dxa" w:w="2412"/>
          </w:tcPr>
          <w:p>
            <w:r>
              <w:rPr>
                <w:b w:val="0"/>
                <w:i w:val="0"/>
              </w:rPr>
              <w:t>12 min</w:t>
            </w:r>
          </w:p>
        </w:tc>
        <w:tc>
          <w:tcPr>
            <w:tcW w:type="dxa" w:w="2412"/>
          </w:tcPr>
          <w:p>
            <w:r>
              <w:rPr>
                <w:b w:val="0"/>
                <w:i w:val="0"/>
              </w:rPr>
              <w:t>6 min</w:t>
            </w:r>
          </w:p>
        </w:tc>
        <w:tc>
          <w:tcPr>
            <w:tcW w:type="dxa" w:w="2412"/>
          </w:tcPr>
          <w:p>
            <w:r>
              <w:rPr>
                <w:b w:val="0"/>
                <w:i w:val="0"/>
              </w:rPr>
              <w:t xml:space="preserve">Sólo Basic/cookies en una línea cada uno, OAuth 1.0 como antítesis, el detalle del tipo </w:t>
            </w:r>
            <w:r>
              <w:rPr>
                <w:rFonts w:ascii="Consolas" w:hAnsi="Consolas"/>
                <w:b w:val="0"/>
                <w:i w:val="0"/>
                <w:color w:val="A03030"/>
              </w:rPr>
              <w:t>mac</w:t>
            </w:r>
            <w:r>
              <w:rPr>
                <w:b w:val="0"/>
                <w:i w:val="0"/>
              </w:rPr>
              <w:t xml:space="preserve"> abandonado y la cita de RFC 6749 §10.3. Quitar la nota académica de capabilities.</w:t>
            </w:r>
          </w:p>
        </w:tc>
      </w:tr>
      <w:tr>
        <w:tc>
          <w:tcPr>
            <w:tcW w:type="dxa" w:w="2412"/>
          </w:tcPr>
          <w:p>
            <w:r>
              <w:rPr>
                <w:b w:val="0"/>
                <w:i w:val="0"/>
              </w:rPr>
              <w:t>2. Familia de tokens</w:t>
            </w:r>
          </w:p>
        </w:tc>
        <w:tc>
          <w:tcPr>
            <w:tcW w:type="dxa" w:w="2412"/>
          </w:tcPr>
          <w:p>
            <w:r>
              <w:rPr>
                <w:b w:val="0"/>
                <w:i w:val="0"/>
              </w:rPr>
              <w:t>14 min</w:t>
            </w:r>
          </w:p>
        </w:tc>
        <w:tc>
          <w:tcPr>
            <w:tcW w:type="dxa" w:w="2412"/>
          </w:tcPr>
          <w:p>
            <w:r>
              <w:rPr>
                <w:b w:val="0"/>
                <w:i w:val="0"/>
              </w:rPr>
              <w:t>7 min</w:t>
            </w:r>
          </w:p>
        </w:tc>
        <w:tc>
          <w:tcPr>
            <w:tcW w:type="dxa" w:w="2412"/>
          </w:tcPr>
          <w:p>
            <w:r>
              <w:rPr>
                <w:b w:val="0"/>
                <w:i w:val="0"/>
              </w:rPr>
              <w:t>Mantener el mapa de los 4 tokens; recortar opaque vs JWT a "la regla de oro" y fusionar API keys con el caso 5.4.</w:t>
            </w:r>
          </w:p>
        </w:tc>
      </w:tr>
      <w:tr>
        <w:tc>
          <w:tcPr>
            <w:tcW w:type="dxa" w:w="2412"/>
          </w:tcPr>
          <w:p>
            <w:r>
              <w:rPr>
                <w:b w:val="0"/>
                <w:i w:val="0"/>
              </w:rPr>
              <w:t>3. Anatomía</w:t>
            </w:r>
          </w:p>
        </w:tc>
        <w:tc>
          <w:tcPr>
            <w:tcW w:type="dxa" w:w="2412"/>
          </w:tcPr>
          <w:p>
            <w:r>
              <w:rPr>
                <w:b w:val="0"/>
                <w:i w:val="0"/>
              </w:rPr>
              <w:t>8 min</w:t>
            </w:r>
          </w:p>
        </w:tc>
        <w:tc>
          <w:tcPr>
            <w:tcW w:type="dxa" w:w="2412"/>
          </w:tcPr>
          <w:p>
            <w:r>
              <w:rPr>
                <w:b w:val="0"/>
                <w:i w:val="0"/>
              </w:rPr>
              <w:t>3 min</w:t>
            </w:r>
          </w:p>
        </w:tc>
        <w:tc>
          <w:tcPr>
            <w:tcW w:type="dxa" w:w="2412"/>
          </w:tcPr>
          <w:p>
            <w:r>
              <w:rPr>
                <w:b w:val="0"/>
                <w:i w:val="0"/>
              </w:rPr>
              <w:t>Quitar la checklist completa: quedarse con "el algoritmo no viene del token" y el transporte (query hoy prohibido por RFC 9700).</w:t>
            </w:r>
          </w:p>
        </w:tc>
      </w:tr>
      <w:tr>
        <w:tc>
          <w:tcPr>
            <w:tcW w:type="dxa" w:w="2412"/>
          </w:tcPr>
          <w:p>
            <w:r>
              <w:rPr>
                <w:b w:val="0"/>
                <w:i w:val="0"/>
              </w:rPr>
              <w:t>4. MFA persona/sistema</w:t>
            </w:r>
          </w:p>
        </w:tc>
        <w:tc>
          <w:tcPr>
            <w:tcW w:type="dxa" w:w="2412"/>
          </w:tcPr>
          <w:p>
            <w:r>
              <w:rPr>
                <w:b w:val="0"/>
                <w:i w:val="0"/>
              </w:rPr>
              <w:t>14 min</w:t>
            </w:r>
          </w:p>
        </w:tc>
        <w:tc>
          <w:tcPr>
            <w:tcW w:type="dxa" w:w="2412"/>
          </w:tcPr>
          <w:p>
            <w:r>
              <w:rPr>
                <w:b w:val="0"/>
                <w:i w:val="0"/>
              </w:rPr>
              <w:t>10 min</w:t>
            </w:r>
          </w:p>
        </w:tc>
        <w:tc>
          <w:tcPr>
            <w:tcW w:type="dxa" w:w="2412"/>
          </w:tcPr>
          <w:p>
            <w:r>
              <w:rPr>
                <w:b/>
                <w:i w:val="0"/>
              </w:rPr>
              <w:t>No se recorta la tesis ni la tabla comparativa.</w:t>
            </w:r>
            <w:r>
              <w:rPr>
                <w:b w:val="0"/>
                <w:i w:val="0"/>
              </w:rPr>
              <w:t xml:space="preserve"> Acortar la jerarquía de factores y los tres modos de fallo a una sola slide.</w:t>
            </w:r>
          </w:p>
        </w:tc>
      </w:tr>
      <w:tr>
        <w:tc>
          <w:tcPr>
            <w:tcW w:type="dxa" w:w="2412"/>
          </w:tcPr>
          <w:p>
            <w:r>
              <w:rPr>
                <w:b w:val="0"/>
                <w:i w:val="0"/>
              </w:rPr>
              <w:t>5. Ataques</w:t>
            </w:r>
          </w:p>
        </w:tc>
        <w:tc>
          <w:tcPr>
            <w:tcW w:type="dxa" w:w="2412"/>
          </w:tcPr>
          <w:p>
            <w:r>
              <w:rPr>
                <w:b w:val="0"/>
                <w:i w:val="0"/>
              </w:rPr>
              <w:t>12 min</w:t>
            </w:r>
          </w:p>
        </w:tc>
        <w:tc>
          <w:tcPr>
            <w:tcW w:type="dxa" w:w="2412"/>
          </w:tcPr>
          <w:p>
            <w:r>
              <w:rPr>
                <w:b w:val="0"/>
                <w:i w:val="0"/>
              </w:rPr>
              <w:t>5 min</w:t>
            </w:r>
          </w:p>
        </w:tc>
        <w:tc>
          <w:tcPr>
            <w:tcW w:type="dxa" w:w="2412"/>
          </w:tcPr>
          <w:p>
            <w:r>
              <w:rPr>
                <w:b w:val="0"/>
                <w:i w:val="0"/>
              </w:rPr>
              <w:t>Quedarse con Facebook 2018 + Codecov 2021 + BOLA como síntesis. Uber y Okta/Cloudflare se mencionan de pasaje en el bloque 4.</w:t>
            </w:r>
          </w:p>
        </w:tc>
      </w:tr>
      <w:tr>
        <w:tc>
          <w:tcPr>
            <w:tcW w:type="dxa" w:w="2412"/>
          </w:tcPr>
          <w:p>
            <w:r>
              <w:rPr>
                <w:b w:val="0"/>
                <w:i w:val="0"/>
              </w:rPr>
              <w:t>6. Futuro</w:t>
            </w:r>
          </w:p>
        </w:tc>
        <w:tc>
          <w:tcPr>
            <w:tcW w:type="dxa" w:w="2412"/>
          </w:tcPr>
          <w:p>
            <w:r>
              <w:rPr>
                <w:b w:val="0"/>
                <w:i w:val="0"/>
              </w:rPr>
              <w:t>7 min</w:t>
            </w:r>
          </w:p>
        </w:tc>
        <w:tc>
          <w:tcPr>
            <w:tcW w:type="dxa" w:w="2412"/>
          </w:tcPr>
          <w:p>
            <w:r>
              <w:rPr>
                <w:b w:val="0"/>
                <w:i w:val="0"/>
              </w:rPr>
              <w:t>3 min</w:t>
            </w:r>
          </w:p>
        </w:tc>
        <w:tc>
          <w:tcPr>
            <w:tcW w:type="dxa" w:w="2412"/>
          </w:tcPr>
          <w:p>
            <w:r>
              <w:rPr>
                <w:b w:val="0"/>
                <w:i w:val="0"/>
              </w:rPr>
              <w:t>Sólo DPoP/mTLS + RFC 9700.</w:t>
            </w:r>
          </w:p>
        </w:tc>
      </w:tr>
      <w:tr>
        <w:tc>
          <w:tcPr>
            <w:tcW w:type="dxa" w:w="2412"/>
          </w:tcPr>
          <w:p>
            <w:r>
              <w:rPr>
                <w:b w:val="0"/>
                <w:i w:val="0"/>
              </w:rPr>
              <w:t>Cierre</w:t>
            </w:r>
          </w:p>
        </w:tc>
        <w:tc>
          <w:tcPr>
            <w:tcW w:type="dxa" w:w="2412"/>
          </w:tcPr>
          <w:p>
            <w:r>
              <w:rPr>
                <w:b w:val="0"/>
                <w:i w:val="0"/>
              </w:rPr>
              <w:t>4 min</w:t>
            </w:r>
          </w:p>
        </w:tc>
        <w:tc>
          <w:tcPr>
            <w:tcW w:type="dxa" w:w="2412"/>
          </w:tcPr>
          <w:p>
            <w:r>
              <w:rPr>
                <w:b w:val="0"/>
                <w:i w:val="0"/>
              </w:rPr>
              <w:t>2 min</w:t>
            </w:r>
          </w:p>
        </w:tc>
        <w:tc>
          <w:tcPr>
            <w:tcW w:type="dxa" w:w="2412"/>
          </w:tcPr>
          <w:p>
            <w:r>
              <w:rPr>
                <w:b w:val="0"/>
                <w:i w:val="0"/>
              </w:rPr>
              <w:t>—</w:t>
            </w:r>
          </w:p>
        </w:tc>
      </w:tr>
      <w:tr>
        <w:tc>
          <w:tcPr>
            <w:tcW w:type="dxa" w:w="2412"/>
          </w:tcPr>
          <w:p>
            <w:r>
              <w:rPr>
                <w:b w:val="0"/>
                <w:i w:val="0"/>
              </w:rPr>
              <w:t>Preguntas</w:t>
            </w:r>
          </w:p>
        </w:tc>
        <w:tc>
          <w:tcPr>
            <w:tcW w:type="dxa" w:w="2412"/>
          </w:tcPr>
          <w:p>
            <w:r>
              <w:rPr>
                <w:b w:val="0"/>
                <w:i w:val="0"/>
              </w:rPr>
              <w:t>—</w:t>
            </w:r>
          </w:p>
        </w:tc>
        <w:tc>
          <w:tcPr>
            <w:tcW w:type="dxa" w:w="2412"/>
          </w:tcPr>
          <w:p>
            <w:r>
              <w:rPr>
                <w:b w:val="0"/>
                <w:i w:val="0"/>
              </w:rPr>
              <w:t>2 min</w:t>
            </w:r>
          </w:p>
        </w:tc>
        <w:tc>
          <w:tcPr>
            <w:tcW w:type="dxa" w:w="2412"/>
          </w:tcPr>
          <w:p>
            <w:r>
              <w:rPr>
                <w:b w:val="0"/>
                <w:i w:val="0"/>
              </w:rPr>
              <w:t>—</w:t>
            </w:r>
          </w:p>
        </w:tc>
      </w:tr>
      <w:tr>
        <w:tc>
          <w:tcPr>
            <w:tcW w:type="dxa" w:w="2412"/>
          </w:tcPr>
          <w:p>
            <w:r>
              <w:rPr>
                <w:b/>
                <w:i w:val="0"/>
              </w:rPr>
              <w:t>Total</w:t>
            </w:r>
          </w:p>
        </w:tc>
        <w:tc>
          <w:tcPr>
            <w:tcW w:type="dxa" w:w="2412"/>
          </w:tcPr>
          <w:p>
            <w:r>
              <w:rPr>
                <w:b/>
                <w:i w:val="0"/>
              </w:rPr>
              <w:t>~75 min</w:t>
            </w:r>
          </w:p>
        </w:tc>
        <w:tc>
          <w:tcPr>
            <w:tcW w:type="dxa" w:w="2412"/>
          </w:tcPr>
          <w:p>
            <w:r>
              <w:rPr>
                <w:b/>
                <w:i w:val="0"/>
              </w:rPr>
              <w:t>~30 min</w:t>
            </w:r>
          </w:p>
        </w:tc>
        <w:tc>
          <w:tcPr>
            <w:tcW w:type="dxa" w:w="2412"/>
          </w:tcPr>
          <w:p/>
        </w:tc>
      </w:tr>
    </w:tbl>
    <w:p/>
    <w:p>
      <w:r>
        <w:br w:type="page"/>
      </w:r>
    </w:p>
    <w:p>
      <w:pPr>
        <w:pStyle w:val="Heading1"/>
      </w:pPr>
      <w:r>
        <w:t>ANEXO C — Preguntas frecuentes del público (respuestas breves)</w:t>
      </w:r>
    </w:p>
    <w:p>
      <w:r>
        <w:rPr>
          <w:b w:val="0"/>
          <w:i/>
        </w:rPr>
        <w:t>Preparación para el turno de preguntas. La versión extendida, con fuentes, está en la sección 11 de la clase completa (`clase_completa.docx`, "Preguntas frecuentes").</w:t>
      </w:r>
    </w:p>
    <w:p>
      <w:pPr>
        <w:pStyle w:val="ListBullet"/>
      </w:pPr>
      <w:r>
        <w:rPr>
          <w:b/>
          <w:i w:val="0"/>
        </w:rPr>
        <w:t>¿Base64 es cifrado?</w:t>
      </w:r>
      <w:r>
        <w:rPr>
          <w:b w:val="0"/>
          <w:i w:val="0"/>
        </w:rPr>
        <w:t xml:space="preserve"> No: es una </w:t>
      </w:r>
      <w:r>
        <w:rPr>
          <w:b/>
          <w:i w:val="0"/>
        </w:rPr>
        <w:t>codificación</w:t>
      </w:r>
      <w:r>
        <w:rPr>
          <w:b w:val="0"/>
          <w:i w:val="0"/>
        </w:rPr>
        <w:t xml:space="preserve"> sin clave. El cifrado real de JOSE es </w:t>
      </w:r>
      <w:r>
        <w:rPr>
          <w:b/>
          <w:i w:val="0"/>
        </w:rPr>
        <w:t>JWE</w:t>
      </w:r>
      <w:r>
        <w:rPr>
          <w:b w:val="0"/>
          <w:i w:val="0"/>
        </w:rPr>
        <w:t xml:space="preserve">. Un </w:t>
      </w:r>
      <w:r>
        <w:rPr>
          <w:b/>
          <w:i w:val="0"/>
        </w:rPr>
        <w:t>JWT común es JWS: firmado, no sellado</w:t>
      </w:r>
      <w:r>
        <w:rPr>
          <w:b w:val="0"/>
          <w:i w:val="0"/>
        </w:rPr>
        <w:t xml:space="preserve"> (se lee).</w:t>
      </w:r>
    </w:p>
    <w:p>
      <w:pPr>
        <w:pStyle w:val="ListBullet"/>
      </w:pPr>
      <w:r>
        <w:rPr>
          <w:b/>
          <w:i w:val="0"/>
        </w:rPr>
        <w:t>¿Todos los bearer usan base64url?</w:t>
      </w:r>
      <w:r>
        <w:rPr>
          <w:b w:val="0"/>
          <w:i w:val="0"/>
        </w:rPr>
        <w:t xml:space="preserve"> No. Base64url es propio de </w:t>
      </w:r>
      <w:r>
        <w:rPr>
          <w:b/>
          <w:i w:val="0"/>
        </w:rPr>
        <w:t>JWT/JOSE</w:t>
      </w:r>
      <w:r>
        <w:rPr>
          <w:b w:val="0"/>
          <w:i w:val="0"/>
        </w:rPr>
        <w:t xml:space="preserve">; un </w:t>
      </w:r>
      <w:r>
        <w:rPr>
          <w:b/>
          <w:i w:val="0"/>
        </w:rPr>
        <w:t>token opaco</w:t>
      </w:r>
      <w:r>
        <w:rPr>
          <w:b w:val="0"/>
          <w:i w:val="0"/>
        </w:rPr>
        <w:t xml:space="preserve"> son bytes aleatorios.</w:t>
      </w:r>
    </w:p>
    <w:p>
      <w:pPr>
        <w:pStyle w:val="ListBullet"/>
      </w:pPr>
      <w:r>
        <w:rPr>
          <w:b/>
          <w:i w:val="0"/>
        </w:rPr>
        <w:t>¿Qué es HMAC-SHA1?</w:t>
      </w:r>
      <w:r>
        <w:rPr>
          <w:b w:val="0"/>
          <w:i w:val="0"/>
        </w:rPr>
        <w:t xml:space="preserve"> Un </w:t>
      </w:r>
      <w:r>
        <w:rPr>
          <w:b/>
          <w:i w:val="0"/>
        </w:rPr>
        <w:t>MAC simétrico</w:t>
      </w:r>
      <w:r>
        <w:rPr>
          <w:b w:val="0"/>
          <w:i w:val="0"/>
        </w:rPr>
        <w:t xml:space="preserve"> (clave + hash) del RFC 2104. Lo usaba </w:t>
      </w:r>
      <w:r>
        <w:rPr>
          <w:b/>
          <w:i w:val="0"/>
        </w:rPr>
        <w:t>OAuth 1.0</w:t>
      </w:r>
      <w:r>
        <w:rPr>
          <w:b w:val="0"/>
          <w:i w:val="0"/>
        </w:rPr>
        <w:t xml:space="preserve"> para firmar cada request en el </w:t>
      </w:r>
      <w:r>
        <w:rPr>
          <w:rFonts w:ascii="Consolas" w:hAnsi="Consolas"/>
          <w:b w:val="0"/>
          <w:i w:val="0"/>
          <w:color w:val="A03030"/>
        </w:rPr>
        <w:t>nonce</w:t>
      </w:r>
      <w:r>
        <w:rPr>
          <w:b w:val="0"/>
          <w:i w:val="0"/>
        </w:rPr>
        <w:t>. Deprecado a favor de SHA-256 (</w:t>
      </w:r>
      <w:r>
        <w:rPr>
          <w:b/>
          <w:i w:val="0"/>
        </w:rPr>
        <w:t>HS256</w:t>
      </w:r>
      <w:r>
        <w:rPr>
          <w:b w:val="0"/>
          <w:i w:val="0"/>
        </w:rPr>
        <w:t>).</w:t>
      </w:r>
    </w:p>
    <w:p>
      <w:pPr>
        <w:pStyle w:val="ListBullet"/>
      </w:pPr>
      <w:r>
        <w:rPr>
          <w:b/>
          <w:i w:val="0"/>
        </w:rPr>
        <w:t>¿Qué son `amr` y `acr`?</w:t>
      </w:r>
      <w:r>
        <w:rPr>
          <w:b w:val="0"/>
          <w:i w:val="0"/>
        </w:rPr>
        <w:t xml:space="preserve"> </w:t>
      </w:r>
      <w:r>
        <w:rPr>
          <w:rFonts w:ascii="Consolas" w:hAnsi="Consolas"/>
          <w:b w:val="0"/>
          <w:i w:val="0"/>
          <w:color w:val="A03030"/>
        </w:rPr>
        <w:t>amr</w:t>
      </w:r>
      <w:r>
        <w:rPr>
          <w:b w:val="0"/>
          <w:i w:val="0"/>
        </w:rPr>
        <w:t xml:space="preserve"> (RFC 8176) = </w:t>
      </w:r>
      <w:r>
        <w:rPr>
          <w:b/>
          <w:i w:val="0"/>
        </w:rPr>
        <w:t>con qué métodos</w:t>
      </w:r>
      <w:r>
        <w:rPr>
          <w:b w:val="0"/>
          <w:i w:val="0"/>
        </w:rPr>
        <w:t xml:space="preserve"> se autenticó; </w:t>
      </w:r>
      <w:r>
        <w:rPr>
          <w:rFonts w:ascii="Consolas" w:hAnsi="Consolas"/>
          <w:b w:val="0"/>
          <w:i w:val="0"/>
          <w:color w:val="A03030"/>
        </w:rPr>
        <w:t>acr</w:t>
      </w:r>
      <w:r>
        <w:rPr>
          <w:b w:val="0"/>
          <w:i w:val="0"/>
        </w:rPr>
        <w:t xml:space="preserve"> = </w:t>
      </w:r>
      <w:r>
        <w:rPr>
          <w:b/>
          <w:i w:val="0"/>
        </w:rPr>
        <w:t>con qué nivel/garantía</w:t>
      </w:r>
      <w:r>
        <w:rPr>
          <w:b w:val="0"/>
          <w:i w:val="0"/>
        </w:rPr>
        <w:t>. La API solo sabe que hubo MFA si el emisor los pone y el validador los revisa.</w:t>
      </w:r>
    </w:p>
    <w:p>
      <w:pPr>
        <w:pStyle w:val="ListBullet"/>
      </w:pPr>
      <w:r>
        <w:rPr>
          <w:b/>
          <w:i w:val="0"/>
        </w:rPr>
        <w:t>¿Qué es JOSE?</w:t>
      </w:r>
      <w:r>
        <w:rPr>
          <w:b w:val="0"/>
          <w:i w:val="0"/>
        </w:rPr>
        <w:t xml:space="preserve"> La familia: </w:t>
      </w:r>
      <w:r>
        <w:rPr>
          <w:b/>
          <w:i w:val="0"/>
        </w:rPr>
        <w:t>JWS</w:t>
      </w:r>
      <w:r>
        <w:rPr>
          <w:b w:val="0"/>
          <w:i w:val="0"/>
        </w:rPr>
        <w:t xml:space="preserve"> (firma), </w:t>
      </w:r>
      <w:r>
        <w:rPr>
          <w:b/>
          <w:i w:val="0"/>
        </w:rPr>
        <w:t>JWE</w:t>
      </w:r>
      <w:r>
        <w:rPr>
          <w:b w:val="0"/>
          <w:i w:val="0"/>
        </w:rPr>
        <w:t xml:space="preserve"> (cifrado), </w:t>
      </w:r>
      <w:r>
        <w:rPr>
          <w:b/>
          <w:i w:val="0"/>
        </w:rPr>
        <w:t>JWK</w:t>
      </w:r>
      <w:r>
        <w:rPr>
          <w:b w:val="0"/>
          <w:i w:val="0"/>
        </w:rPr>
        <w:t xml:space="preserve"> (claves), </w:t>
      </w:r>
      <w:r>
        <w:rPr>
          <w:b/>
          <w:i w:val="0"/>
        </w:rPr>
        <w:t>JWA</w:t>
      </w:r>
      <w:r>
        <w:rPr>
          <w:b w:val="0"/>
          <w:i w:val="0"/>
        </w:rPr>
        <w:t xml:space="preserve"> (algoritmos), </w:t>
      </w:r>
      <w:r>
        <w:rPr>
          <w:b/>
          <w:i w:val="0"/>
        </w:rPr>
        <w:t>JWT</w:t>
      </w:r>
      <w:r>
        <w:rPr>
          <w:b w:val="0"/>
          <w:i w:val="0"/>
        </w:rPr>
        <w:t xml:space="preserve"> (token).</w:t>
      </w:r>
    </w:p>
    <w:p>
      <w:pPr>
        <w:pStyle w:val="ListBullet"/>
      </w:pPr>
      <w:r>
        <w:rPr>
          <w:b/>
          <w:i w:val="0"/>
        </w:rPr>
        <w:t>¿Qué fue primero: la cookie o Digest?</w:t>
      </w:r>
      <w:r>
        <w:rPr>
          <w:b w:val="0"/>
          <w:i w:val="0"/>
        </w:rPr>
        <w:t xml:space="preserve"> </w:t>
      </w:r>
      <w:r>
        <w:rPr>
          <w:b/>
          <w:i w:val="0"/>
        </w:rPr>
        <w:t>La cookie</w:t>
      </w:r>
      <w:r>
        <w:rPr>
          <w:b w:val="0"/>
          <w:i w:val="0"/>
        </w:rPr>
        <w:t xml:space="preserve"> (Netscape, 1994/1996). </w:t>
      </w:r>
      <w:r>
        <w:rPr>
          <w:b/>
          <w:i w:val="0"/>
        </w:rPr>
        <w:t>Digest</w:t>
      </w:r>
      <w:r>
        <w:rPr>
          <w:b w:val="0"/>
          <w:i w:val="0"/>
        </w:rPr>
        <w:t xml:space="preserve"> se estandarizó después (RFC 2069 en 1997; RFC 2617 en 1999).</w:t>
      </w:r>
    </w:p>
    <w:p>
      <w:pPr>
        <w:pStyle w:val="ListBullet"/>
      </w:pPr>
      <w:r>
        <w:rPr>
          <w:b/>
          <w:i w:val="0"/>
        </w:rPr>
        <w:t>¿Bearer es exclusivo de OAuth?</w:t>
      </w:r>
      <w:r>
        <w:rPr>
          <w:b w:val="0"/>
          <w:i w:val="0"/>
        </w:rPr>
        <w:t xml:space="preserve"> No. El esquema </w:t>
      </w:r>
      <w:r>
        <w:rPr>
          <w:rFonts w:ascii="Consolas" w:hAnsi="Consolas"/>
          <w:b w:val="0"/>
          <w:i w:val="0"/>
          <w:color w:val="A03030"/>
        </w:rPr>
        <w:t>Bearer</w:t>
      </w:r>
      <w:r>
        <w:rPr>
          <w:b w:val="0"/>
          <w:i w:val="0"/>
        </w:rPr>
        <w:t xml:space="preserve"> es del </w:t>
      </w:r>
      <w:r>
        <w:rPr>
          <w:b/>
          <w:i w:val="0"/>
        </w:rPr>
        <w:t>marco HTTP</w:t>
      </w:r>
      <w:r>
        <w:rPr>
          <w:b w:val="0"/>
          <w:i w:val="0"/>
        </w:rPr>
        <w:t xml:space="preserve"> y lo usa cualquier API. RFC 6749 y RFC 6750 son compañeros pero distintos; y OAuth puede emitir tokens </w:t>
      </w:r>
      <w:r>
        <w:rPr>
          <w:b/>
          <w:i w:val="0"/>
        </w:rPr>
        <w:t>sender-constrained</w:t>
      </w:r>
      <w:r>
        <w:rPr>
          <w:b w:val="0"/>
          <w:i w:val="0"/>
        </w:rPr>
        <w:t xml:space="preserve"> (no bearer puro).</w:t>
      </w:r>
    </w:p>
    <w:p>
      <w:pPr>
        <w:pStyle w:val="ListBullet"/>
      </w:pPr>
      <w:r>
        <w:rPr>
          <w:b/>
          <w:i w:val="0"/>
        </w:rPr>
        <w:t>¿Todos los flujos de OAuth 2 usan token?</w:t>
      </w:r>
      <w:r>
        <w:rPr>
          <w:b w:val="0"/>
          <w:i w:val="0"/>
        </w:rPr>
        <w:t xml:space="preserve"> Sí, todos emiten </w:t>
      </w:r>
      <w:r>
        <w:rPr>
          <w:b/>
          <w:i w:val="0"/>
        </w:rPr>
        <w:t>access token</w:t>
      </w:r>
      <w:r>
        <w:rPr>
          <w:b w:val="0"/>
          <w:i w:val="0"/>
        </w:rPr>
        <w:t xml:space="preserve">. Implicit y Password (ROPC) están </w:t>
      </w:r>
      <w:r>
        <w:rPr>
          <w:b/>
          <w:i w:val="0"/>
        </w:rPr>
        <w:t>retirados</w:t>
      </w:r>
      <w:r>
        <w:rPr>
          <w:b w:val="0"/>
          <w:i w:val="0"/>
        </w:rPr>
        <w:t xml:space="preserve"> por RFC 9700 (2025).</w:t>
      </w:r>
    </w:p>
    <w:p>
      <w:pPr>
        <w:pStyle w:val="ListBullet"/>
      </w:pPr>
      <w:r>
        <w:rPr>
          <w:b/>
          <w:i w:val="0"/>
        </w:rPr>
        <w:t>¿Qué es un token opaco?</w:t>
      </w:r>
      <w:r>
        <w:rPr>
          <w:b w:val="0"/>
          <w:i w:val="0"/>
        </w:rPr>
        <w:t xml:space="preserve"> Un string sin claims legibles; se valida por </w:t>
      </w:r>
      <w:r>
        <w:rPr>
          <w:b/>
          <w:i w:val="0"/>
        </w:rPr>
        <w:t>introspección</w:t>
      </w:r>
      <w:r>
        <w:rPr>
          <w:b w:val="0"/>
          <w:i w:val="0"/>
        </w:rPr>
        <w:t xml:space="preserve"> (RFC 7662) contra el servidor de autorización.</w:t>
      </w:r>
    </w:p>
    <w:p>
      <w:pPr>
        <w:pStyle w:val="ListBullet"/>
      </w:pPr>
      <w:r>
        <w:rPr>
          <w:b/>
          <w:i w:val="0"/>
        </w:rPr>
        <w:t>¿Qué es `aud`?</w:t>
      </w:r>
      <w:r>
        <w:rPr>
          <w:b w:val="0"/>
          <w:i w:val="0"/>
        </w:rPr>
        <w:t xml:space="preserve"> La </w:t>
      </w:r>
      <w:r>
        <w:rPr>
          <w:b/>
          <w:i w:val="0"/>
        </w:rPr>
        <w:t>audiencia</w:t>
      </w:r>
      <w:r>
        <w:rPr>
          <w:b w:val="0"/>
          <w:i w:val="0"/>
        </w:rPr>
        <w:t>: para quién es el token. Validarla estricta es lo que responde al §10.3 de RFC 6749.</w:t>
      </w:r>
    </w:p>
    <w:p>
      <w:pPr>
        <w:pStyle w:val="ListBullet"/>
      </w:pPr>
      <w:r>
        <w:rPr>
          <w:b/>
          <w:i w:val="0"/>
        </w:rPr>
        <w:t>¿Qué es prueba de posesión (PoP)?</w:t>
      </w:r>
      <w:r>
        <w:rPr>
          <w:b w:val="0"/>
          <w:i w:val="0"/>
        </w:rPr>
        <w:t xml:space="preserve"> Demostrar que se tiene la </w:t>
      </w:r>
      <w:r>
        <w:rPr>
          <w:b/>
          <w:i w:val="0"/>
        </w:rPr>
        <w:t>clave privada</w:t>
      </w:r>
      <w:r>
        <w:rPr>
          <w:b w:val="0"/>
          <w:i w:val="0"/>
        </w:rPr>
        <w:t xml:space="preserve"> por request: </w:t>
      </w:r>
      <w:r>
        <w:rPr>
          <w:b/>
          <w:i w:val="0"/>
        </w:rPr>
        <w:t>mTLS</w:t>
      </w:r>
      <w:r>
        <w:rPr>
          <w:b w:val="0"/>
          <w:i w:val="0"/>
        </w:rPr>
        <w:t xml:space="preserve"> atado al certificado (RFC 8705) o </w:t>
      </w:r>
      <w:r>
        <w:rPr>
          <w:b/>
          <w:i w:val="0"/>
        </w:rPr>
        <w:t>DPoP</w:t>
      </w:r>
      <w:r>
        <w:rPr>
          <w:b w:val="0"/>
          <w:i w:val="0"/>
        </w:rPr>
        <w:t xml:space="preserve"> (RFC 9449). Robar el token no alcanza.</w:t>
      </w:r>
    </w:p>
    <w:p>
      <w:pPr>
        <w:pStyle w:val="ListBullet"/>
      </w:pPr>
      <w:r>
        <w:rPr>
          <w:b/>
          <w:i w:val="0"/>
        </w:rPr>
        <w:t>¿mTLS o DPoP?</w:t>
      </w:r>
      <w:r>
        <w:rPr>
          <w:b w:val="0"/>
          <w:i w:val="0"/>
        </w:rPr>
        <w:t xml:space="preserve"> mTLS da identidad fuerte de cliente pero requiere </w:t>
      </w:r>
      <w:r>
        <w:rPr>
          <w:b/>
          <w:i w:val="0"/>
        </w:rPr>
        <w:t>PKI</w:t>
      </w:r>
      <w:r>
        <w:rPr>
          <w:b w:val="0"/>
          <w:i w:val="0"/>
        </w:rPr>
        <w:t xml:space="preserve">; DPoP no necesita PKI y firma cada request con </w:t>
      </w:r>
      <w:r>
        <w:rPr>
          <w:rFonts w:ascii="Consolas" w:hAnsi="Consolas"/>
          <w:b w:val="0"/>
          <w:i w:val="0"/>
          <w:color w:val="A03030"/>
        </w:rPr>
        <w:t>jti</w:t>
      </w:r>
      <w:r>
        <w:rPr>
          <w:b w:val="0"/>
          <w:i w:val="0"/>
        </w:rPr>
        <w:t>/</w:t>
      </w:r>
      <w:r>
        <w:rPr>
          <w:rFonts w:ascii="Consolas" w:hAnsi="Consolas"/>
          <w:b w:val="0"/>
          <w:i w:val="0"/>
          <w:color w:val="A03030"/>
        </w:rPr>
        <w:t>htm</w:t>
      </w:r>
      <w:r>
        <w:rPr>
          <w:b w:val="0"/>
          <w:i w:val="0"/>
        </w:rPr>
        <w:t>/</w:t>
      </w:r>
      <w:r>
        <w:rPr>
          <w:rFonts w:ascii="Consolas" w:hAnsi="Consolas"/>
          <w:b w:val="0"/>
          <w:i w:val="0"/>
          <w:color w:val="A03030"/>
        </w:rPr>
        <w:t>htu</w:t>
      </w:r>
      <w:r>
        <w:rPr>
          <w:b w:val="0"/>
          <w:i w:val="0"/>
        </w:rPr>
        <w:t>.</w:t>
      </w:r>
    </w:p>
    <w:p>
      <w:pPr>
        <w:pStyle w:val="ListBullet"/>
      </w:pPr>
      <w:r>
        <w:rPr>
          <w:b/>
          <w:i w:val="0"/>
        </w:rPr>
        <w:t>¿Por qué una passkey resiste el phishing?</w:t>
      </w:r>
      <w:r>
        <w:rPr>
          <w:b w:val="0"/>
          <w:i w:val="0"/>
        </w:rPr>
        <w:t xml:space="preserve"> El </w:t>
      </w:r>
      <w:r>
        <w:rPr>
          <w:rFonts w:ascii="Consolas" w:hAnsi="Consolas"/>
          <w:b w:val="0"/>
          <w:i w:val="0"/>
          <w:color w:val="A03030"/>
        </w:rPr>
        <w:t>origin</w:t>
      </w:r>
      <w:r>
        <w:rPr>
          <w:b w:val="0"/>
          <w:i w:val="0"/>
        </w:rPr>
        <w:t xml:space="preserve"> va </w:t>
      </w:r>
      <w:r>
        <w:rPr>
          <w:b/>
          <w:i w:val="0"/>
        </w:rPr>
        <w:t>atado criptográficamente</w:t>
      </w:r>
      <w:r>
        <w:rPr>
          <w:b w:val="0"/>
          <w:i w:val="0"/>
        </w:rPr>
        <w:t xml:space="preserve"> a la firma; el autenticador no firma para el sitio falso. El OTP sí se phishea en vivo (AiTM); SMS es el más débil.</w:t>
      </w:r>
    </w:p>
    <w:p>
      <w:pPr>
        <w:pStyle w:val="ListBullet"/>
      </w:pPr>
      <w:r>
        <w:rPr>
          <w:b/>
          <w:i w:val="0"/>
        </w:rPr>
        <w:t>¿Qué es "JWT mal validado"?</w:t>
      </w:r>
      <w:r>
        <w:rPr>
          <w:b w:val="0"/>
          <w:i w:val="0"/>
        </w:rPr>
        <w:t xml:space="preserve"> El token es correcto, el validador no: </w:t>
      </w:r>
      <w:r>
        <w:rPr>
          <w:rFonts w:ascii="Consolas" w:hAnsi="Consolas"/>
          <w:b w:val="0"/>
          <w:i w:val="0"/>
          <w:color w:val="A03030"/>
        </w:rPr>
        <w:t>alg:none</w:t>
      </w:r>
      <w:r>
        <w:rPr>
          <w:b w:val="0"/>
          <w:i w:val="0"/>
        </w:rPr>
        <w:t xml:space="preserve">, confusión HS/RS, inyección de </w:t>
      </w:r>
      <w:r>
        <w:rPr>
          <w:rFonts w:ascii="Consolas" w:hAnsi="Consolas"/>
          <w:b w:val="0"/>
          <w:i w:val="0"/>
          <w:color w:val="A03030"/>
        </w:rPr>
        <w:t>kid</w:t>
      </w:r>
      <w:r>
        <w:rPr>
          <w:b w:val="0"/>
          <w:i w:val="0"/>
        </w:rPr>
        <w:t xml:space="preserve">, no validar </w:t>
      </w:r>
      <w:r>
        <w:rPr>
          <w:rFonts w:ascii="Consolas" w:hAnsi="Consolas"/>
          <w:b w:val="0"/>
          <w:i w:val="0"/>
          <w:color w:val="A03030"/>
        </w:rPr>
        <w:t>iss</w:t>
      </w:r>
      <w:r>
        <w:rPr>
          <w:b w:val="0"/>
          <w:i w:val="0"/>
        </w:rPr>
        <w:t>/</w:t>
      </w:r>
      <w:r>
        <w:rPr>
          <w:rFonts w:ascii="Consolas" w:hAnsi="Consolas"/>
          <w:b w:val="0"/>
          <w:i w:val="0"/>
          <w:color w:val="A03030"/>
        </w:rPr>
        <w:t>aud</w:t>
      </w:r>
      <w:r>
        <w:rPr>
          <w:b w:val="0"/>
          <w:i w:val="0"/>
        </w:rPr>
        <w:t>/</w:t>
      </w:r>
      <w:r>
        <w:rPr>
          <w:rFonts w:ascii="Consolas" w:hAnsi="Consolas"/>
          <w:b w:val="0"/>
          <w:i w:val="0"/>
          <w:color w:val="A03030"/>
        </w:rPr>
        <w:t>exp</w:t>
      </w:r>
      <w:r>
        <w:rPr>
          <w:b w:val="0"/>
          <w:i w:val="0"/>
        </w:rPr>
        <w:t xml:space="preserve">. La política sale de la </w:t>
      </w:r>
      <w:r>
        <w:rPr>
          <w:b/>
          <w:i w:val="0"/>
        </w:rPr>
        <w:t>config</w:t>
      </w:r>
      <w:r>
        <w:rPr>
          <w:b w:val="0"/>
          <w:i w:val="0"/>
        </w:rPr>
        <w:t>, no del mensaje (RFC 8725).</w:t>
      </w:r>
    </w:p>
    <w:p>
      <w:pPr>
        <w:pStyle w:val="ListBullet"/>
      </w:pPr>
      <w:r>
        <w:rPr>
          <w:b/>
          <w:i w:val="0"/>
        </w:rPr>
        <w:t>¿Qué son BOLA, BFLA y BOPLA?</w:t>
      </w:r>
      <w:r>
        <w:rPr>
          <w:b w:val="0"/>
          <w:i w:val="0"/>
        </w:rPr>
        <w:t xml:space="preserve"> A nivel </w:t>
      </w:r>
      <w:r>
        <w:rPr>
          <w:b/>
          <w:i w:val="0"/>
        </w:rPr>
        <w:t>objeto</w:t>
      </w:r>
      <w:r>
        <w:rPr>
          <w:b w:val="0"/>
          <w:i w:val="0"/>
        </w:rPr>
        <w:t xml:space="preserve">, </w:t>
      </w:r>
      <w:r>
        <w:rPr>
          <w:b/>
          <w:i w:val="0"/>
        </w:rPr>
        <w:t>función</w:t>
      </w:r>
      <w:r>
        <w:rPr>
          <w:b w:val="0"/>
          <w:i w:val="0"/>
        </w:rPr>
        <w:t xml:space="preserve"> y </w:t>
      </w:r>
      <w:r>
        <w:rPr>
          <w:b/>
          <w:i w:val="0"/>
        </w:rPr>
        <w:t>propiedad</w:t>
      </w:r>
      <w:r>
        <w:rPr>
          <w:b w:val="0"/>
          <w:i w:val="0"/>
        </w:rPr>
        <w:t>, respectivamente (OWASP API1, API5, API3). Autenticar ≠ autorizar.</w:t>
      </w:r>
    </w:p>
    <w:p>
      <w:pPr>
        <w:pStyle w:val="ListBullet"/>
      </w:pPr>
      <w:r>
        <w:rPr>
          <w:b/>
          <w:i w:val="0"/>
        </w:rPr>
        <w:t>¿Y las versiones de HTTP?</w:t>
      </w:r>
      <w:r>
        <w:rPr>
          <w:b w:val="0"/>
          <w:i w:val="0"/>
        </w:rPr>
        <w:t xml:space="preserve"> No crean el problema del bearer, pero cambian la superficie: compresión de cabeceras (HPACK/QPACK), inspección de binario, smuggling, terminación TLS. El token en </w:t>
      </w:r>
      <w:r>
        <w:rPr>
          <w:b/>
          <w:i w:val="0"/>
        </w:rPr>
        <w:t>query</w:t>
      </w:r>
      <w:r>
        <w:rPr>
          <w:b w:val="0"/>
          <w:i w:val="0"/>
        </w:rPr>
        <w:t xml:space="preserve"> lo prohíbe RFC 9700.</w:t>
      </w:r>
    </w:p>
    <w:p>
      <w:pPr>
        <w:pStyle w:val="ListBullet"/>
      </w:pPr>
      <w:r>
        <w:rPr>
          <w:b/>
          <w:i w:val="0"/>
        </w:rPr>
        <w:t>El caso de Okta, ¿fue 2022?</w:t>
      </w:r>
      <w:r>
        <w:rPr>
          <w:b w:val="0"/>
          <w:i w:val="0"/>
        </w:rPr>
        <w:t xml:space="preserve"> El del </w:t>
      </w:r>
      <w:r>
        <w:rPr>
          <w:b w:val="0"/>
          <w:i/>
        </w:rPr>
        <w:t>session token</w:t>
      </w:r>
      <w:r>
        <w:rPr>
          <w:b w:val="0"/>
          <w:i w:val="0"/>
        </w:rPr>
        <w:t xml:space="preserve"> de un ticket de soporte fue </w:t>
      </w:r>
      <w:r>
        <w:rPr>
          <w:b/>
          <w:i w:val="0"/>
        </w:rPr>
        <w:t>octubre de 2023</w:t>
      </w:r>
      <w:r>
        <w:rPr>
          <w:b w:val="0"/>
          <w:i w:val="0"/>
        </w:rPr>
        <w:t xml:space="preserve">. El de </w:t>
      </w:r>
      <w:r>
        <w:rPr>
          <w:b/>
          <w:i w:val="0"/>
        </w:rPr>
        <w:t>enero de 2022</w:t>
      </w:r>
      <w:r>
        <w:rPr>
          <w:b w:val="0"/>
          <w:i w:val="0"/>
        </w:rPr>
        <w:t xml:space="preserve"> (proveedor de soporte) </w:t>
      </w:r>
      <w:r>
        <w:rPr>
          <w:b/>
          <w:i w:val="0"/>
        </w:rPr>
        <w:t>no</w:t>
      </w:r>
      <w:r>
        <w:rPr>
          <w:b w:val="0"/>
          <w:i w:val="0"/>
        </w:rPr>
        <w:t xml:space="preserve"> impactó a Cloudflare, que usaba llaves de hardware.</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itguardian.com/state-of-secrets-sprawl-report-2026" TargetMode="External"/><Relationship Id="rId10" Type="http://schemas.openxmlformats.org/officeDocument/2006/relationships/hyperlink" Target="https://cheatsheetseries.owasp.org/cheatsheets/JSON_Web_Token_for_Java_Cheat_Sheet.html" TargetMode="External"/><Relationship Id="rId11" Type="http://schemas.openxmlformats.org/officeDocument/2006/relationships/hyperlink" Target="https://pages.nist.gov/800-63-4/" TargetMode="External"/><Relationship Id="rId12" Type="http://schemas.openxmlformats.org/officeDocument/2006/relationships/hyperlink" Target="https://pages.nist.gov/800-63-4/sp800-63b.html" TargetMode="External"/><Relationship Id="rId13" Type="http://schemas.openxmlformats.org/officeDocument/2006/relationships/hyperlink" Target="https://www.nytimes.com/2022/09/15/technology/uber-hacking-breach.html" TargetMode="External"/><Relationship Id="rId14" Type="http://schemas.openxmlformats.org/officeDocument/2006/relationships/hyperlink" Target="https://www.upguard.com/blog/what-caused-the-uber-data-breach" TargetMode="External"/><Relationship Id="rId15" Type="http://schemas.openxmlformats.org/officeDocument/2006/relationships/hyperlink" Target="https://about.fb.com/news/2018/09/security-update/" TargetMode="External"/><Relationship Id="rId16" Type="http://schemas.openxmlformats.org/officeDocument/2006/relationships/hyperlink" Target="https://krebsonsecurity.com/2018/09/facebook-security-bug-affects-90m-users/" TargetMode="External"/><Relationship Id="rId17" Type="http://schemas.openxmlformats.org/officeDocument/2006/relationships/hyperlink" Target="https://blog.cloudflare.com/how-cloudflare-mitigated-yet-another-okta-compromise/" TargetMode="External"/><Relationship Id="rId18" Type="http://schemas.openxmlformats.org/officeDocument/2006/relationships/hyperlink" Target="https://blog.cloudflare.com/cloudflare-investigation-of-the-january-2022-okta-compromise/" TargetMode="External"/><Relationship Id="rId19" Type="http://schemas.openxmlformats.org/officeDocument/2006/relationships/hyperlink" Target="https://www.rfc-editor.org/rfc/rfc7009" TargetMode="External"/><Relationship Id="rId20" Type="http://schemas.openxmlformats.org/officeDocument/2006/relationships/hyperlink" Target="https://about.codecov.io/security-update/" TargetMode="External"/><Relationship Id="rId21" Type="http://schemas.openxmlformats.org/officeDocument/2006/relationships/hyperlink" Target="https://www.rapid7.com/blog/post/2021/04/16/codecov-discloses-supply-chain-compromise/" TargetMode="External"/><Relationship Id="rId22" Type="http://schemas.openxmlformats.org/officeDocument/2006/relationships/hyperlink" Target="https://blog.gitguardian.com/the-state-of-secrets-sprawl-2026/" TargetMode="External"/><Relationship Id="rId23" Type="http://schemas.openxmlformats.org/officeDocument/2006/relationships/hyperlink" Target="https://salt.security/blog/api1-2023-broken-object-level-authentication" TargetMode="External"/><Relationship Id="rId24" Type="http://schemas.openxmlformats.org/officeDocument/2006/relationships/hyperlink" Target="https://www.rfc-editor.org/rfc/rfc8725" TargetMode="External"/><Relationship Id="rId25" Type="http://schemas.openxmlformats.org/officeDocument/2006/relationships/hyperlink" Target="https://portswigger.net/web-security/jwt" TargetMode="External"/><Relationship Id="rId26" Type="http://schemas.openxmlformats.org/officeDocument/2006/relationships/hyperlink" Target="https://www.rfc-editor.org/rfc/rfc6819" TargetMode="External"/><Relationship Id="rId27" Type="http://schemas.openxmlformats.org/officeDocument/2006/relationships/hyperlink" Target="https://owasp.org/API-Security/editions/2023/en/0x11-t10/" TargetMode="External"/><Relationship Id="rId28" Type="http://schemas.openxmlformats.org/officeDocument/2006/relationships/hyperlink" Target="https://www.rfc-editor.org/rfc/rfc2617" TargetMode="External"/><Relationship Id="rId29" Type="http://schemas.openxmlformats.org/officeDocument/2006/relationships/hyperlink" Target="https://www.rfc-editor.org/rfc/rfc7616" TargetMode="External"/><Relationship Id="rId30" Type="http://schemas.openxmlformats.org/officeDocument/2006/relationships/hyperlink" Target="https://www.rfc-editor.org/rfc/rfc6265" TargetMode="External"/><Relationship Id="rId31" Type="http://schemas.openxmlformats.org/officeDocument/2006/relationships/hyperlink" Target="https://www.rfc-editor.org/rfc/rfc5849" TargetMode="External"/><Relationship Id="rId32" Type="http://schemas.openxmlformats.org/officeDocument/2006/relationships/hyperlink" Target="https://www.rfc-editor.org/rfc/rfc6749" TargetMode="External"/><Relationship Id="rId33" Type="http://schemas.openxmlformats.org/officeDocument/2006/relationships/hyperlink" Target="https://www.rfc-editor.org/rfc/rfc6750" TargetMode="External"/><Relationship Id="rId34" Type="http://schemas.openxmlformats.org/officeDocument/2006/relationships/hyperlink" Target="https://www.rfc-editor.org/rfc/rfc7636" TargetMode="External"/><Relationship Id="rId35" Type="http://schemas.openxmlformats.org/officeDocument/2006/relationships/hyperlink" Target="https://www.rfc-editor.org/rfc/rfc7519" TargetMode="External"/><Relationship Id="rId36" Type="http://schemas.openxmlformats.org/officeDocument/2006/relationships/hyperlink" Target="https://www.rfc-editor.org/rfc/rfc7522" TargetMode="External"/><Relationship Id="rId37" Type="http://schemas.openxmlformats.org/officeDocument/2006/relationships/hyperlink" Target="https://www.rfc-editor.org/rfc/rfc7523" TargetMode="External"/><Relationship Id="rId38" Type="http://schemas.openxmlformats.org/officeDocument/2006/relationships/hyperlink" Target="https://www.rfc-editor.org/rfc/rfc7662" TargetMode="External"/><Relationship Id="rId39" Type="http://schemas.openxmlformats.org/officeDocument/2006/relationships/hyperlink" Target="https://www.rfc-editor.org/rfc/rfc8176" TargetMode="External"/><Relationship Id="rId40" Type="http://schemas.openxmlformats.org/officeDocument/2006/relationships/hyperlink" Target="https://www.rfc-editor.org/rfc/rfc8252" TargetMode="External"/><Relationship Id="rId41" Type="http://schemas.openxmlformats.org/officeDocument/2006/relationships/hyperlink" Target="https://www.rfc-editor.org/rfc/rfc8471" TargetMode="External"/><Relationship Id="rId42" Type="http://schemas.openxmlformats.org/officeDocument/2006/relationships/hyperlink" Target="https://www.rfc-editor.org/rfc/rfc8705" TargetMode="External"/><Relationship Id="rId43" Type="http://schemas.openxmlformats.org/officeDocument/2006/relationships/hyperlink" Target="https://www.rfc-editor.org/rfc/rfc9068" TargetMode="External"/><Relationship Id="rId44" Type="http://schemas.openxmlformats.org/officeDocument/2006/relationships/hyperlink" Target="https://www.rfc-editor.org/rfc/rfc9449" TargetMode="External"/><Relationship Id="rId45" Type="http://schemas.openxmlformats.org/officeDocument/2006/relationships/hyperlink" Target="https://www.rfc-editor.org/rfc/rfc9700" TargetMode="External"/><Relationship Id="rId46" Type="http://schemas.openxmlformats.org/officeDocument/2006/relationships/hyperlink" Target="https://openid.net/specs/openid-connect-core-1_0.html" TargetMode="External"/><Relationship Id="rId47" Type="http://schemas.openxmlformats.org/officeDocument/2006/relationships/hyperlink" Target="https://openid.net/the-openid-foundation-launches-the-openid-connect-standard/" TargetMode="External"/><Relationship Id="rId48" Type="http://schemas.openxmlformats.org/officeDocument/2006/relationships/hyperlink" Target="https://csrc.nist.gov/pubs/sp/800/63/4/final" TargetMode="External"/><Relationship Id="rId49" Type="http://schemas.openxmlformats.org/officeDocument/2006/relationships/hyperlink" Target="https://docs.aws.amazon.com/IAM/latest/UserGuide/reference_sigv.html" TargetMode="External"/><Relationship Id="rId50" Type="http://schemas.openxmlformats.org/officeDocument/2006/relationships/hyperlink" Target="https://spiffe.io/docs/latest/spiffe-about/overview/" TargetMode="External"/><Relationship Id="rId51" Type="http://schemas.openxmlformats.org/officeDocument/2006/relationships/hyperlink" Target="https://owasp.org/www-project-api-security/" TargetMode="External"/><Relationship Id="rId52" Type="http://schemas.openxmlformats.org/officeDocument/2006/relationships/hyperlink" Target="https://cheatsheetseries.owasp.org/cheatsheets/Authentication_Cheat_Sheet.html" TargetMode="External"/><Relationship Id="rId53" Type="http://schemas.openxmlformats.org/officeDocument/2006/relationships/hyperlink" Target="https://cheatsheetseries.owasp.org/cheatsheets/REST_Security_Cheat_Sheet.html" TargetMode="External"/><Relationship Id="rId54" Type="http://schemas.openxmlformats.org/officeDocument/2006/relationships/hyperlink" Target="https://attack.mitre.org/techniques/T1621/" TargetMode="External"/><Relationship Id="rId55" Type="http://schemas.openxmlformats.org/officeDocument/2006/relationships/hyperlink" Target="https://jwt.io/introduction" TargetMode="External"/><Relationship Id="rId56" Type="http://schemas.openxmlformats.org/officeDocument/2006/relationships/hyperlink" Target="https://www.gub.uy/agencia-gobierno-electronico-sociedad-informacion-conocimiento/comunicacion/publicaciones/documentacion-tecnica-id-uruguay/documentacion-tecnica-id-uruguay/id-0" TargetMode="External"/><Relationship Id="rId57" Type="http://schemas.openxmlformats.org/officeDocument/2006/relationships/hyperlink" Target="https://www.gub.uy/agencia-gobierno-electronico-sociedad-informacion-conocimiento/sites/agencia-gobierno-electronico-sociedad-informacion-conocimiento/files/Desarrollo%20seguro.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