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GV-02 · Alcance del SGSI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(GV.OC — Contexto de la organización)</w:t>
      </w:r>
    </w:p>
    <w:p>
      <w:pPr>
        <w:ind w:left="432"/>
      </w:pPr>
      <w:r>
        <w:rPr>
          <w:i/>
          <w:color w:val="606060"/>
        </w:rPr>
        <w:t>**ISO/IEC 27001:** Cláusulas 4.1 (Contexto) · 4.2 (Partes interesadas) · 4.3 (Determinación del alcance)</w:t>
      </w:r>
    </w:p>
    <w:p>
      <w:pPr>
        <w:ind w:left="432"/>
      </w:pPr>
      <w:r>
        <w:rPr>
          <w:i/>
          <w:color w:val="606060"/>
        </w:rPr>
        <w:t>**BCU:** Estándares Mínimos de Gestión — Gobierno de la ciberseguridad</w:t>
      </w:r>
    </w:p>
    <w:p>
      <w:pPr>
        <w:ind w:left="432"/>
      </w:pPr>
      <w:r>
        <w:rPr>
          <w:i/>
          <w:color w:val="606060"/>
        </w:rPr>
        <w:t>**URCDP:** Ley 18.331 art. 10 y Decreto 64/020 (base de las medidas de seguridad)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Alcance del SGSI</w:t>
      </w:r>
      <w:r>
        <w:t xml:space="preserve"> define </w:t>
      </w:r>
      <w:r>
        <w:rPr>
          <w:b/>
        </w:rPr>
        <w:t>qué protección alcanza y qué queda fuera</w:t>
      </w:r>
      <w:r>
        <w:t>: qué áreas del banco, qué procesos, qué activos de información y qué servicios prestados por terceros quedan cubiertos por el Sistema de Gestión de Seguridad de la Información. Sin alcance, ninguna auditoría puede certificar nada: no se sabría qué se evalúa ni qué se responde.</w:t>
      </w:r>
    </w:p>
    <w:p>
      <w:r>
        <w:t xml:space="preserve">En el ciclo del SGSI se usa </w:t>
      </w:r>
      <w:r>
        <w:rPr>
          <w:b/>
        </w:rPr>
        <w:t>inmediatamente después de aprobar la Política (GV-01)</w:t>
      </w:r>
      <w:r>
        <w:t xml:space="preserve"> y antes de inventariar activos (ID-01) o evaluar riesgos (ID-02): primero se delimita el terreno, después se mide lo que hay sobre él. La norma ISO/IEC 27001 lo exige en su </w:t>
      </w:r>
      <w:r>
        <w:rPr>
          <w:b/>
        </w:rPr>
        <w:t>cláusula 4.3</w:t>
      </w:r>
      <w:r>
        <w:t xml:space="preserve"> ("Determinación del alcance") y el MCU 5.0 en la categoría </w:t>
      </w:r>
      <w:r>
        <w:rPr>
          <w:b/>
        </w:rPr>
        <w:t>GV.OC</w:t>
      </w:r>
      <w:r>
        <w:t>, junto con el análisis de contexto (4.1) y de partes interesadas (4.2). El BCU lo considera parte del gobierno de la ciberseguridad y la URCDP lo usa como insumo del Documento de Seguridad (URCDP-01).</w:t>
      </w:r>
    </w:p>
    <w:p>
      <w:r>
        <w:t xml:space="preserve">Un alcance bien redactado es </w:t>
      </w:r>
      <w:r>
        <w:rPr>
          <w:b/>
        </w:rPr>
        <w:t>específico del Banco</w:t>
      </w:r>
      <w:r>
        <w:t xml:space="preserve">: no sirve un texto genérico. Debe reflejar el organigrama real del banco, sus sucursales, la red de canales (incluido </w:t>
      </w:r>
      <w:r>
        <w:rPr>
          <w:b/>
        </w:rPr>
        <w:t>Banco En Línea</w:t>
      </w:r>
      <w:r>
        <w:t>), el sistema de pagos y las tercerizaciones. Un alcance ambiguo genera conflictos en las auditorías y deja áreas sin protección asumida.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Contexto de la organización</w:t>
            </w:r>
          </w:p>
        </w:tc>
        <w:tc>
          <w:tcPr>
            <w:tcW w:type="dxa" w:w="1930"/>
          </w:tcPr>
          <w:p>
            <w:r/>
            <w:r>
              <w:t>GV.OC (categoría Contexto)</w:t>
            </w:r>
          </w:p>
        </w:tc>
        <w:tc>
          <w:tcPr>
            <w:tcW w:type="dxa" w:w="1930"/>
          </w:tcPr>
          <w:p>
            <w:r/>
            <w:r>
              <w:t>Cláusula 4.1</w:t>
            </w:r>
          </w:p>
        </w:tc>
        <w:tc>
          <w:tcPr>
            <w:tcW w:type="dxa" w:w="1930"/>
          </w:tcPr>
          <w:p>
            <w:r/>
            <w:r>
              <w:t>EMG · Gobierno (conocimiento del entorno)</w:t>
            </w:r>
          </w:p>
        </w:tc>
        <w:tc>
          <w:tcPr>
            <w:tcW w:type="dxa" w:w="1930"/>
          </w:tcPr>
          <w:p>
            <w:r/>
            <w:r>
              <w:t>Decreto 64/020 art. 5 (contexto del tratamiento)</w:t>
            </w:r>
          </w:p>
        </w:tc>
      </w:tr>
      <w:tr>
        <w:tc>
          <w:tcPr>
            <w:tcW w:type="dxa" w:w="1930"/>
          </w:tcPr>
          <w:p>
            <w:r/>
            <w:r>
              <w:t>Determinación del alcance</w:t>
            </w:r>
          </w:p>
        </w:tc>
        <w:tc>
          <w:tcPr>
            <w:tcW w:type="dxa" w:w="1930"/>
          </w:tcPr>
          <w:p>
            <w:r/>
            <w:r>
              <w:t>GV.OC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Cláusula 4.3</w:t>
            </w:r>
          </w:p>
        </w:tc>
        <w:tc>
          <w:tcPr>
            <w:tcW w:type="dxa" w:w="1930"/>
          </w:tcPr>
          <w:p>
            <w:r/>
            <w:r>
              <w:t>EMG · Gobierno (alcance de la función de seguridad)</w:t>
            </w:r>
          </w:p>
        </w:tc>
        <w:tc>
          <w:tcPr>
            <w:tcW w:type="dxa" w:w="1930"/>
          </w:tcPr>
          <w:p>
            <w:r/>
            <w:r>
              <w:t>Ley 18.331 art. 10 (medidas proporcionales al alcance)</w:t>
            </w:r>
          </w:p>
        </w:tc>
      </w:tr>
      <w:tr>
        <w:tc>
          <w:tcPr>
            <w:tcW w:type="dxa" w:w="1930"/>
          </w:tcPr>
          <w:p>
            <w:r/>
            <w:r>
              <w:t>Partes interesadas</w:t>
            </w:r>
          </w:p>
        </w:tc>
        <w:tc>
          <w:tcPr>
            <w:tcW w:type="dxa" w:w="1930"/>
          </w:tcPr>
          <w:p>
            <w:r/>
            <w:r>
              <w:t>GV.OC</w:t>
            </w:r>
          </w:p>
        </w:tc>
        <w:tc>
          <w:tcPr>
            <w:tcW w:type="dxa" w:w="1930"/>
          </w:tcPr>
          <w:p>
            <w:r/>
            <w:r>
              <w:t>Cláusula 4.2</w:t>
            </w:r>
          </w:p>
        </w:tc>
        <w:tc>
          <w:tcPr>
            <w:tcW w:type="dxa" w:w="1930"/>
          </w:tcPr>
          <w:p>
            <w:r/>
            <w:r>
              <w:t>EMG · Gobierno (supervisores, clientes)</w:t>
            </w:r>
          </w:p>
        </w:tc>
        <w:tc>
          <w:tcPr>
            <w:tcW w:type="dxa" w:w="1930"/>
          </w:tcPr>
          <w:p>
            <w:r/>
            <w:r>
              <w:t>Ley 18.331 art. 5-6 (titulares de datos)</w:t>
            </w:r>
          </w:p>
        </w:tc>
      </w:tr>
      <w:tr>
        <w:tc>
          <w:tcPr>
            <w:tcW w:type="dxa" w:w="1930"/>
          </w:tcPr>
          <w:p>
            <w:r/>
            <w:r>
              <w:t>Límites y exclusiones</w:t>
            </w:r>
          </w:p>
        </w:tc>
        <w:tc>
          <w:tcPr>
            <w:tcW w:type="dxa" w:w="1930"/>
          </w:tcPr>
          <w:p>
            <w:r/>
            <w:r>
              <w:t>GV.OC</w:t>
            </w:r>
          </w:p>
        </w:tc>
        <w:tc>
          <w:tcPr>
            <w:tcW w:type="dxa" w:w="1930"/>
          </w:tcPr>
          <w:p>
            <w:r/>
            <w:r>
              <w:t>Cláusula 4.3 (requisitos 4.1, 4.2 no excluibles)</w:t>
            </w:r>
          </w:p>
        </w:tc>
        <w:tc>
          <w:tcPr>
            <w:tcW w:type="dxa" w:w="1930"/>
          </w:tcPr>
          <w:p>
            <w:r/>
            <w:r>
              <w:t>Com. 2022/254 (tercerizaciones)</w:t>
            </w:r>
          </w:p>
        </w:tc>
        <w:tc>
          <w:tcPr>
            <w:tcW w:type="dxa" w:w="1930"/>
          </w:tcPr>
          <w:p>
            <w:r/>
            <w:r>
              <w:t>Decreto 64/020 (responsabilidad del responsable)</w:t>
            </w:r>
          </w:p>
        </w:tc>
      </w:tr>
      <w:tr>
        <w:tc>
          <w:tcPr>
            <w:tcW w:type="dxa" w:w="1930"/>
          </w:tcPr>
          <w:p>
            <w:r/>
            <w:r>
              <w:t>Base del inventario de activos</w:t>
            </w:r>
          </w:p>
        </w:tc>
        <w:tc>
          <w:tcPr>
            <w:tcW w:type="dxa" w:w="1930"/>
          </w:tcPr>
          <w:p>
            <w:r/>
            <w:r>
              <w:t>ID.AM</w:t>
            </w:r>
          </w:p>
        </w:tc>
        <w:tc>
          <w:tcPr>
            <w:tcW w:type="dxa" w:w="1930"/>
          </w:tcPr>
          <w:p>
            <w:r/>
            <w:r>
              <w:t>A.5.9</w:t>
            </w:r>
          </w:p>
        </w:tc>
        <w:tc>
          <w:tcPr>
            <w:tcW w:type="dxa" w:w="1930"/>
          </w:tcPr>
          <w:p>
            <w:r/>
            <w:r>
              <w:t>EMG · Riesgo tecnológico</w:t>
            </w:r>
          </w:p>
        </w:tc>
        <w:tc>
          <w:tcPr>
            <w:tcW w:type="dxa" w:w="1930"/>
          </w:tcPr>
          <w:p>
            <w:r/>
            <w:r>
              <w:t>Decreto 414/009 (registro de bases)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Analizá el contexto interno y externo</w:t>
      </w:r>
      <w:r>
        <w:t xml:space="preserve"> con la División Planificación Estratégica (Cr. Pablo Vargha): misión, visión, objetivos, posición del banco y factores externos (marco legal, sistema financiero, proveedores).</w:t>
      </w:r>
    </w:p>
    <w:p>
      <w:pPr>
        <w:pStyle w:val="ListNumber"/>
      </w:pPr>
      <w:r>
        <w:rPr>
          <w:b/>
        </w:rPr>
        <w:t>Listá las partes interesadas</w:t>
      </w:r>
      <w:r>
        <w:t xml:space="preserve"> y su interés/expectativa en materia de seguridad: BCU, Agesic, URCDP, CERTuy, clientes, funcionarios, proveedores y sociedad en su conjunto.</w:t>
      </w:r>
    </w:p>
    <w:p>
      <w:pPr>
        <w:pStyle w:val="ListNumber"/>
      </w:pPr>
      <w:r>
        <w:rPr>
          <w:b/>
        </w:rPr>
        <w:t>Describí las áreas incluidas</w:t>
      </w:r>
      <w:r>
        <w:t xml:space="preserve"> apoyándote en el organigrama vigente (</w:t>
      </w:r>
      <w:r>
        <w:rPr>
          <w:rFonts w:ascii="Consolas" w:hAnsi="Consolas"/>
          <w:sz w:val="20"/>
        </w:rPr>
        <w:t>07-Organigrama.md</w:t>
      </w:r>
      <w:r>
        <w:t>) y consultá a la División Secretaría General por la versión oficial del PDF.</w:t>
      </w:r>
    </w:p>
    <w:p>
      <w:pPr>
        <w:pStyle w:val="ListNumber"/>
      </w:pPr>
      <w:r>
        <w:rPr>
          <w:b/>
        </w:rPr>
        <w:t>Determiná los procesos incluidos</w:t>
      </w:r>
      <w:r>
        <w:t xml:space="preserve"> (crédito hipotecario, ahorro, pagos, canales) con el Jefe de Departamento Sistema de Pagos (Cr. Guillermo Correa) y los responsables de proceso del Área Comercial (Cr. Pablo Liard).</w:t>
      </w:r>
    </w:p>
    <w:p>
      <w:pPr>
        <w:pStyle w:val="ListNumber"/>
      </w:pPr>
      <w:r>
        <w:rPr>
          <w:b/>
        </w:rPr>
        <w:t>Justificá las exclusiones</w:t>
      </w:r>
      <w:r>
        <w:t xml:space="preserve"> por escrito: si algo queda fuera, la norma exige fundamentarlo (exclusiones del alcance), aunque contexto y partes interesadas </w:t>
      </w:r>
      <w:r>
        <w:rPr>
          <w:b/>
        </w:rPr>
        <w:t>nunca</w:t>
      </w:r>
      <w:r>
        <w:t xml:space="preserve"> se pueden excluir.</w:t>
      </w:r>
    </w:p>
    <w:p>
      <w:pPr>
        <w:pStyle w:val="ListNumber"/>
      </w:pPr>
      <w:r>
        <w:rPr>
          <w:b/>
        </w:rPr>
        <w:t>Validá los activos cubiertos</w:t>
      </w:r>
      <w:r>
        <w:t xml:space="preserve"> con el Jefe de Departamento Sistemas (Lic. Cristian Palo) y el Área Riesgos (Cra. Melissa Moraes) para que el alcance coincida con el inventario real.</w:t>
      </w:r>
    </w:p>
    <w:p>
      <w:pPr>
        <w:pStyle w:val="ListNumber"/>
      </w:pPr>
      <w:r>
        <w:rPr>
          <w:b/>
        </w:rPr>
        <w:t>Revisalo con el Comité de Seguridad</w:t>
      </w:r>
      <w:r>
        <w:t xml:space="preserve"> y, tras la aprobación del Directorio, registralo en el control de cambios. Actualizalo ante cambios significativos (nueva sucursal, nueva línea de negocio, nueva tercerización).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GV-02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Alcance del SGSI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Contexto de la organización</w:t>
      </w:r>
    </w:p>
    <w:p>
      <w:r>
        <w:rPr>
          <w:b/>
        </w:rPr>
        <w:t>1.1 Contexto interno.</w:t>
      </w:r>
      <w:r>
        <w:t xml:space="preserve"> El Banco es una institución pública de intermediación financiera especializada en [COMPLETAR: vivienda, crédito hipotecario y ahorro]. Su estructura sigue el organigrama oficial (SF.PLE.05): Área Comercial, Área Operaciones y TI, Área Administración Financiera, Área Riesgos y divisiones dependientes de la Gerencia General.</w:t>
      </w:r>
    </w:p>
    <w:p>
      <w:r>
        <w:rPr>
          <w:b/>
        </w:rPr>
        <w:t>1.2 Contexto externo.</w:t>
      </w:r>
      <w:r>
        <w:t xml:space="preserve"> Factores relevantes: [COMPLETAR: normativa BCU y del sistema financiero, marco de ciberseguridad del Estado (Agesic), protecciones de datos personales (URCDP), situación económica y de mercado, amenazas cibernéticas, proveedores tecnológicos]. Se analizan también las expectativas de [COMPLETAR].</w:t>
      </w:r>
    </w:p>
    <w:p>
      <w:pPr>
        <w:pStyle w:val="Heading3"/>
      </w:pPr>
      <w:r>
        <w:rPr>
          <w:color w:val="1F3B63"/>
        </w:rPr>
        <w:t>2. Partes interesadas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Parte interesada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Interés / expectativa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Requisito de seguridad derivado</w:t>
            </w:r>
          </w:p>
        </w:tc>
      </w:tr>
      <w:tr>
        <w:tc>
          <w:tcPr>
            <w:tcW w:type="dxa" w:w="3216"/>
          </w:tcPr>
          <w:p>
            <w:r/>
            <w:r>
              <w:t>BCU (supervisor)</w:t>
            </w:r>
          </w:p>
        </w:tc>
        <w:tc>
          <w:tcPr>
            <w:tcW w:type="dxa" w:w="3216"/>
          </w:tcPr>
          <w:p>
            <w:r/>
            <w:r>
              <w:t>Solvencia, gobierno, continuidad del sistema financiero</w:t>
            </w:r>
          </w:p>
        </w:tc>
        <w:tc>
          <w:tcPr>
            <w:tcW w:type="dxa" w:w="3216"/>
          </w:tcPr>
          <w:p>
            <w:r/>
            <w:r>
              <w:t>EMG, RNRCSF art. 492, Circulares 2227 y 2419-2422</w:t>
            </w:r>
          </w:p>
        </w:tc>
      </w:tr>
      <w:tr>
        <w:tc>
          <w:tcPr>
            <w:tcW w:type="dxa" w:w="3216"/>
          </w:tcPr>
          <w:p>
            <w:r/>
            <w:r>
              <w:t>Agesic / CERTuy</w:t>
            </w:r>
          </w:p>
        </w:tc>
        <w:tc>
          <w:tcPr>
            <w:tcW w:type="dxa" w:w="3216"/>
          </w:tcPr>
          <w:p>
            <w:r/>
            <w:r>
              <w:t>Cumplimiento del MCU 5.0 y coordinación de ciberseguridad</w:t>
            </w:r>
          </w:p>
        </w:tc>
        <w:tc>
          <w:tcPr>
            <w:tcW w:type="dxa" w:w="3216"/>
          </w:tcPr>
          <w:p>
            <w:r/>
            <w:r>
              <w:t>MCU 5.0; notificación de incidentes</w:t>
            </w:r>
          </w:p>
        </w:tc>
      </w:tr>
      <w:tr>
        <w:tc>
          <w:tcPr>
            <w:tcW w:type="dxa" w:w="3216"/>
          </w:tcPr>
          <w:p>
            <w:r/>
            <w:r>
              <w:t>URCDP</w:t>
            </w:r>
          </w:p>
        </w:tc>
        <w:tc>
          <w:tcPr>
            <w:tcW w:type="dxa" w:w="3216"/>
          </w:tcPr>
          <w:p>
            <w:r/>
            <w:r>
              <w:t>Protección de datos personales de clientes y funcionarios</w:t>
            </w:r>
          </w:p>
        </w:tc>
        <w:tc>
          <w:tcPr>
            <w:tcW w:type="dxa" w:w="3216"/>
          </w:tcPr>
          <w:p>
            <w:r/>
            <w:r>
              <w:t>Ley 18.331, Ley 19.670, Decreto 64/020</w:t>
            </w:r>
          </w:p>
        </w:tc>
      </w:tr>
      <w:tr>
        <w:tc>
          <w:tcPr>
            <w:tcW w:type="dxa" w:w="3216"/>
          </w:tcPr>
          <w:p>
            <w:r/>
            <w:r>
              <w:t>Clientes (titulares de créditos, ahorristas, usuarios de Banco En Línea)</w:t>
            </w:r>
          </w:p>
        </w:tc>
        <w:tc>
          <w:tcPr>
            <w:tcW w:type="dxa" w:w="3216"/>
          </w:tcPr>
          <w:p>
            <w:r/>
            <w:r>
              <w:t>Confidencialidad de datos, disponibilidad del servicio, secreto bancario</w:t>
            </w:r>
          </w:p>
        </w:tc>
        <w:tc>
          <w:tcPr>
            <w:tcW w:type="dxa" w:w="3216"/>
          </w:tcPr>
          <w:p>
            <w:r/>
            <w:r>
              <w:t>Ley de secreto bancario; RNRCSF art. 492</w:t>
            </w:r>
          </w:p>
        </w:tc>
      </w:tr>
      <w:tr>
        <w:tc>
          <w:tcPr>
            <w:tcW w:type="dxa" w:w="3216"/>
          </w:tcPr>
          <w:p>
            <w:r/>
            <w:r>
              <w:t>Funcionarios y colaboradores</w:t>
            </w:r>
          </w:p>
        </w:tc>
        <w:tc>
          <w:tcPr>
            <w:tcW w:type="dxa" w:w="3216"/>
          </w:tcPr>
          <w:p>
            <w:r/>
            <w:r>
              <w:t>Confidencialidad, formación y uso correcto de la información</w:t>
            </w:r>
          </w:p>
        </w:tc>
        <w:tc>
          <w:tcPr>
            <w:tcW w:type="dxa" w:w="3216"/>
          </w:tcPr>
          <w:p>
            <w:r/>
            <w:r>
              <w:t>Decreto 64/020 (capacitación)</w:t>
            </w:r>
          </w:p>
        </w:tc>
      </w:tr>
      <w:tr>
        <w:tc>
          <w:tcPr>
            <w:tcW w:type="dxa" w:w="3216"/>
          </w:tcPr>
          <w:p>
            <w:r/>
            <w:r>
              <w:t>Proveedores y terceros</w:t>
            </w:r>
          </w:p>
        </w:tc>
        <w:tc>
          <w:tcPr>
            <w:tcW w:type="dxa" w:w="3216"/>
          </w:tcPr>
          <w:p>
            <w:r/>
            <w:r>
              <w:t>Cumplimiento de cláusulas de seguridad, continuidad</w:t>
            </w:r>
          </w:p>
        </w:tc>
        <w:tc>
          <w:tcPr>
            <w:tcW w:type="dxa" w:w="3216"/>
          </w:tcPr>
          <w:p>
            <w:r/>
            <w:r>
              <w:t>GV-05; Circulares 2419-2422</w:t>
            </w:r>
          </w:p>
        </w:tc>
      </w:tr>
    </w:tbl>
    <w:p>
      <w:pPr>
        <w:pStyle w:val="Heading3"/>
      </w:pPr>
      <w:r>
        <w:rPr>
          <w:color w:val="1F3B63"/>
        </w:rPr>
        <w:t>3. Áreas de la organización incluidas</w:t>
      </w:r>
    </w:p>
    <w:p>
      <w:r>
        <w:t>El SGSI alcanza a: [COMPLETAR: Área Comercial, Área Operaciones y TI, Área Administración Financiera, Área Riesgos, y las divisiones de Gerencia General —Auditoría Interna, Capital Humano, Planificación Estratégica, Servicios Jurídicos Notariales y Secretaría General—]. Incluye todas las sucursales del país y los puntos de atención al público, así como los servicios prestados por terceros que traten información del Banco.</w:t>
      </w:r>
    </w:p>
    <w:p>
      <w:pPr>
        <w:pStyle w:val="Heading3"/>
      </w:pPr>
      <w:r>
        <w:rPr>
          <w:color w:val="1F3B63"/>
        </w:rPr>
        <w:t>4. Procesos de negocio incluidos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 interno [COMPLETAR]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Área responsable</w:t>
            </w:r>
          </w:p>
        </w:tc>
      </w:tr>
      <w:tr>
        <w:tc>
          <w:tcPr>
            <w:tcW w:type="dxa" w:w="3216"/>
          </w:tcPr>
          <w:p>
            <w:r/>
            <w:r>
              <w:t>Otorgamiento y gestión de créditos hipotecarios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Comercial / Riesgos</w:t>
            </w:r>
          </w:p>
        </w:tc>
      </w:tr>
      <w:tr>
        <w:tc>
          <w:tcPr>
            <w:tcW w:type="dxa" w:w="3216"/>
          </w:tcPr>
          <w:p>
            <w:r/>
            <w:r>
              <w:t>Captación de ahorro y depósitos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Comercial / Administración Financiera</w:t>
            </w:r>
          </w:p>
        </w:tc>
      </w:tr>
      <w:tr>
        <w:tc>
          <w:tcPr>
            <w:tcW w:type="dxa" w:w="3216"/>
          </w:tcPr>
          <w:p>
            <w:r/>
            <w:r>
              <w:t>Sistema de pagos y operaciones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Operaciones y TI (Dpto. Sistema de Pagos)</w:t>
            </w:r>
          </w:p>
        </w:tc>
      </w:tr>
      <w:tr>
        <w:tc>
          <w:tcPr>
            <w:tcW w:type="dxa" w:w="3216"/>
          </w:tcPr>
          <w:p>
            <w:r/>
            <w:r>
              <w:t>Canales digitales (Banco En Línea, banca móvil)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Comercial (Canales y Apoyo Comercial)</w:t>
            </w:r>
          </w:p>
        </w:tc>
      </w:tr>
      <w:tr>
        <w:tc>
          <w:tcPr>
            <w:tcW w:type="dxa" w:w="3216"/>
          </w:tcPr>
          <w:p>
            <w:r/>
            <w:r>
              <w:t>Gestión de garantías e inmuebles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Riesgos (Seguimiento y Recuperación)</w:t>
            </w:r>
          </w:p>
        </w:tc>
      </w:tr>
      <w:tr>
        <w:tc>
          <w:tcPr>
            <w:tcW w:type="dxa" w:w="3216"/>
          </w:tcPr>
          <w:p>
            <w:r/>
            <w:r>
              <w:t>Gestión de recursos humanos, compras y contrataciones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Gerencia General / Administración Financiera</w:t>
            </w:r>
          </w:p>
        </w:tc>
      </w:tr>
      <w:tr>
        <w:tc>
          <w:tcPr>
            <w:tcW w:type="dxa" w:w="3216"/>
          </w:tcPr>
          <w:p>
            <w:r/>
            <w:r>
              <w:t>TI: desarrollo, producción, soporte y seguridad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Área Operaciones y TI (División TI)</w:t>
            </w:r>
          </w:p>
        </w:tc>
      </w:tr>
    </w:tbl>
    <w:p>
      <w:pPr>
        <w:pStyle w:val="Heading3"/>
      </w:pPr>
      <w:r>
        <w:rPr>
          <w:color w:val="1F3B63"/>
        </w:rPr>
        <w:t>5. Procesos, actividades y activos excluidos (con justificación)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Proceso / activo excluido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Justificación de la exclusión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Revisión prevista</w:t>
            </w:r>
          </w:p>
        </w:tc>
      </w:tr>
      <w:tr>
        <w:tc>
          <w:tcPr>
            <w:tcW w:type="dxa" w:w="3216"/>
          </w:tcPr>
          <w:p>
            <w:r/>
            <w:r>
              <w:t>[COMPLETAR: ej. sistemas legados en desuso]</w:t>
            </w:r>
          </w:p>
        </w:tc>
        <w:tc>
          <w:tcPr>
            <w:tcW w:type="dxa" w:w="3216"/>
          </w:tcPr>
          <w:p>
            <w:r/>
            <w:r>
              <w:t>[COMPLETAR: bajo riesgo, en proceso de retiro, no tratan información vigente]</w:t>
            </w:r>
          </w:p>
        </w:tc>
        <w:tc>
          <w:tcPr>
            <w:tcW w:type="dxa" w:w="3216"/>
          </w:tcPr>
          <w:p>
            <w:r/>
            <w:r>
              <w:t>[Fecha]</w:t>
            </w:r>
          </w:p>
        </w:tc>
      </w:tr>
      <w:tr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[Fecha]</w:t>
            </w:r>
          </w:p>
        </w:tc>
      </w:tr>
    </w:tbl>
    <w:p>
      <w:r>
        <w:t xml:space="preserve">Nota: las cláusulas 4.1 (contexto) y 4.2 (partes interesadas) </w:t>
      </w:r>
      <w:r>
        <w:rPr>
          <w:b/>
        </w:rPr>
        <w:t>no admiten exclusión</w:t>
      </w:r>
      <w:r>
        <w:t>. Toda exclusión debe ser coherente con el propósito del banco y no eludir responsabilidades legales.</w:t>
      </w:r>
    </w:p>
    <w:p>
      <w:pPr>
        <w:pStyle w:val="Heading3"/>
      </w:pPr>
      <w:r>
        <w:rPr>
          <w:color w:val="1F3B63"/>
        </w:rPr>
        <w:t>6. Activos de información cubiertos</w:t>
      </w:r>
    </w:p>
    <w:p>
      <w:r>
        <w:t>Quedan cubiertos: información de clientes (datos personales, datos financieros, secretos bancarios), información comercial y de crédito, registros contables y financieros, información tecnológica (código fuente, configuraciones, claves), información de gobernanza y la información de terceros custodiada por el Banco. El detalle completo se mantiene en el Inventario de Activos (ID-01).</w:t>
      </w:r>
    </w:p>
    <w:p>
      <w:pPr>
        <w:pStyle w:val="Heading3"/>
      </w:pPr>
      <w:r>
        <w:rPr>
          <w:color w:val="1F3B63"/>
        </w:rPr>
        <w:t>7. Límites físicos, organizacionales y tecnológicos</w:t>
      </w:r>
    </w:p>
    <w:p>
      <w:pPr>
        <w:pStyle w:val="ListBullet"/>
      </w:pPr>
      <w:r>
        <w:rPr>
          <w:b/>
        </w:rPr>
        <w:t>Físicos:</w:t>
      </w:r>
      <w:r>
        <w:t xml:space="preserve"> [COMPLETAR: sede central, sucursales, centros de datos propios y de terceros, archivos y custodia física].</w:t>
      </w:r>
    </w:p>
    <w:p>
      <w:pPr>
        <w:pStyle w:val="ListBullet"/>
      </w:pPr>
      <w:r>
        <w:rPr>
          <w:b/>
        </w:rPr>
        <w:t>Organizacionales:</w:t>
      </w:r>
      <w:r>
        <w:t xml:space="preserve"> dependencias del organigrama, funcionarios, contratistas y proveedores con acceso.</w:t>
      </w:r>
    </w:p>
    <w:p>
      <w:pPr>
        <w:pStyle w:val="ListBullet"/>
      </w:pPr>
      <w:r>
        <w:rPr>
          <w:b/>
        </w:rPr>
        <w:t>Tecnológicos:</w:t>
      </w:r>
      <w:r>
        <w:t xml:space="preserve"> [COMPLETAR: red corporativa, aplicaciones (incluido Banco En Línea), infraestructura, nube y servicios externos].</w:t>
      </w:r>
    </w:p>
    <w:p>
      <w:pPr>
        <w:pStyle w:val="Heading3"/>
      </w:pPr>
      <w:r>
        <w:rPr>
          <w:color w:val="1F3B63"/>
        </w:rPr>
        <w:t>8. Actualización del alcance</w:t>
      </w:r>
    </w:p>
    <w:p>
      <w:r>
        <w:t>Este alcance se revisa al menos anualmente o ante: cambios en el organigrama, apertura de sucursales o canales, incorporación de terceros críticos, nuevas líneas de negocio o cambios normativos relevantes.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Adaptalo al estado real del banco.</w:t>
      </w:r>
    </w:p>
    <w:p>
      <w:r>
        <w:rPr>
          <w:b/>
        </w:rPr>
        <w:t>Contexto externo (ejemplo):</w:t>
      </w:r>
      <w:r>
        <w:t xml:space="preserve"> el Banco opera como institución financiera pública supervisada por el BCU, sujeta al secreto bancario y a la Recopilación de Normas de Regulación y Control del Sistema Financiero. Como organismo del Estado, cumple el Marco de Ciberseguridad 5.0 de Agesic y las directivas de CERTuy, además de la Ley 18.331 y su decreto reglamentario 64/020 en materia de datos personales. Factores económicos, el aumento de la ciberdelincuencia financiera y la evolución de los pagos digitales condicionan el perfil de riesgo.</w:t>
      </w:r>
    </w:p>
    <w:p>
      <w:r>
        <w:rPr>
          <w:b/>
        </w:rPr>
        <w:t>Partes interesadas (ejemplo):</w:t>
      </w:r>
      <w:r>
        <w:t xml:space="preserve"> el BCU espera gobierno y continuidad; Agesic y CERTuy esperan alineación al MCU 5.0 y notificación de incidentes; la URCDP espera el cumplimiento de datos personales; los clientes hipotecarios y ahorristas esperan que sus secretos bancarios y credenciales de Banco En Línea estén protegidos y que los servicios estén disponibles; los funcionarios esperan herramientas seguras y capacitación.</w:t>
      </w:r>
    </w:p>
    <w:p>
      <w:r>
        <w:rPr>
          <w:b/>
        </w:rPr>
        <w:t>Áreas incluidas (ejemplo):</w:t>
      </w:r>
      <w:r>
        <w:t xml:space="preserve"> todas las áreas del organigrama oficial: Área Comercial (Cr. Pablo Liard), Área Operaciones y TI (División TI a cargo del Lic. Bernardo Ureta y División Operaciones a cargo de la Ec. Analía Cortizo), Área Administración Financiera (Cra. Soledad Carreres), Área Riesgos (Ec. Laura Zunino), y las divisiones de Gerencia General (Auditoría Interna, Capital Humano, Planificación Estratégica, Servicios Jurídicos Notariales, Secretaría General). Incluye sucursales y los servicios tercerizados con tratamiento de información.</w:t>
      </w:r>
    </w:p>
    <w:p>
      <w:r>
        <w:rPr>
          <w:b/>
        </w:rPr>
        <w:t>Procesos incluidos (ejemplo):</w:t>
      </w:r>
      <w:r>
        <w:t xml:space="preserve"> otorgamiento y gestión de créditos hipotecarios; captación de ahorro y depósitos; el sistema de pagos del banco (Jefe de Departamento Sistema de Pagos, Cr. Guillermo Correa); los canales Banco En Línea y atención personalizada (Cra. Viviana Trabuco y Sr. Alejandro Pereyra); la gestión de garantías e inmuebles (Sr. Pablo Lorenzo) y la gestión de morosidad (Sra. Alejandra Olivera).</w:t>
      </w:r>
    </w:p>
    <w:p>
      <w:r>
        <w:rPr>
          <w:b/>
        </w:rPr>
        <w:t>Exclusiones justificadas (ejemplo):</w:t>
      </w:r>
      <w:r>
        <w:t xml:space="preserve"> los sistemas legados de préstamos ya dados de baja en producción (no tratan datos vigentes; permanecen en archivo histórico fuera de línea) y los soportes de prensa y comunicación institucional no confidenciales, que se rigen por normas de difusión y no por el SGSI.</w:t>
      </w:r>
    </w:p>
    <w:p>
      <w:r>
        <w:rPr>
          <w:b/>
        </w:rPr>
        <w:t>Documentos relacionados:</w:t>
      </w:r>
      <w:r>
        <w:t xml:space="preserve"> GV-01 (Política), GV-03 (Roles y Comité), ID-01 (Inventario de Activos), BCU-01 (Gobierno de Ciberseguridad), URCDP-01 (Documento de Seguridad),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