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5ef30d782d1c764ea999e289a155c13022f3b5"/>
    <w:p>
      <w:pPr>
        <w:pStyle w:val="Heading1"/>
      </w:pPr>
      <w:r>
        <w:t xml:space="preserve">Glyceryl Behenate (Compritol) Lipid Matrix Compositions with pH-Dependent Extended Release — Supplemental Defensive Publication</w:t>
      </w:r>
    </w:p>
    <w:bookmarkStart w:id="10" w:name="defensive-publication-notice"/>
    <w:p>
      <w:pPr>
        <w:pStyle w:val="Heading2"/>
      </w:pPr>
      <w:r>
        <w:t xml:space="preserve">DEFENSIVE PUBLICATION NOTICE</w:t>
      </w:r>
    </w:p>
    <w:p>
      <w:pPr>
        <w:pStyle w:val="FirstParagraph"/>
      </w:pPr>
      <w:r>
        <w:rPr>
          <w:b/>
          <w:bCs/>
        </w:rPr>
        <w:t xml:space="preserve">Date of Public Disclosure:</w:t>
      </w:r>
      <w:r>
        <w:t xml:space="preserve"> </w:t>
      </w:r>
      <w:r>
        <w:t xml:space="preserve">May 4, 2026</w:t>
      </w:r>
    </w:p>
    <w:p>
      <w:pPr>
        <w:pStyle w:val="BodyText"/>
      </w:pPr>
      <w:r>
        <w:rPr>
          <w:b/>
          <w:bCs/>
        </w:rPr>
        <w:t xml:space="preserve">Title:</w:t>
      </w:r>
      <w:r>
        <w:t xml:space="preserve"> </w:t>
      </w:r>
      <w:r>
        <w:t xml:space="preserve">Glyceryl Behenate (Compritol) Lipid Matrix Compositions Exhibiting pH-Dependent Extended-Release Dissolution Behavior — Supplemental Genus Disclosure with Worked Dissolution Examples</w:t>
      </w:r>
    </w:p>
    <w:p>
      <w:pPr>
        <w:pStyle w:val="BodyText"/>
      </w:pPr>
      <w:r>
        <w:rPr>
          <w:b/>
          <w:bCs/>
        </w:rPr>
        <w:t xml:space="preserve">Discloser:</w:t>
      </w:r>
      <w:r>
        <w:t xml:space="preserve"> </w:t>
      </w:r>
      <w:hyperlink r:id="rId9">
        <w:r>
          <w:rPr>
            <w:rStyle w:val="Hyperlink"/>
          </w:rPr>
          <w:t xml:space="preserve">@apbakst</w:t>
        </w:r>
      </w:hyperlink>
    </w:p>
    <w:p>
      <w:pPr>
        <w:pStyle w:val="BodyText"/>
      </w:pPr>
      <w:r>
        <w:rPr>
          <w:b/>
          <w:bCs/>
        </w:rPr>
        <w:t xml:space="preserve">Relationship to prior disclosures:</w:t>
      </w:r>
      <w:r>
        <w:t xml:space="preserve"> </w:t>
      </w:r>
      <w:r>
        <w:t xml:space="preserve">This document is a supplemental and broadening continuation of the lipid matrix disclosures previously published in this repository on February 4, 2026 (</w:t>
      </w:r>
      <w:r>
        <w:rPr>
          <w:rStyle w:val="VerbatimChar"/>
        </w:rPr>
        <w:t xml:space="preserve">Minoxidil_ER_Formulations</w:t>
      </w:r>
      <w:r>
        <w:t xml:space="preserve">) and May 4, 2026 (</w:t>
      </w:r>
      <w:r>
        <w:rPr>
          <w:rStyle w:val="VerbatimChar"/>
        </w:rPr>
        <w:t xml:space="preserve">Lipid_Matrix_Genus_Disclosure</w:t>
      </w:r>
      <w:r>
        <w:t xml:space="preserve">). It expands the public-domain technical scope to cover (i) glyceryl behenate (Compritol)-centric lipid matrix compositions across the broadest possible ratio and excipient design space, (ii) extended-release dosage forms exhibiting differential dissolution behavior between acidic and neutral aqueous media (i.e., pH-dependent release), and (iii) specific worked dissolution profiles. All prior CC0 dedications, scope-expansion clauses, and grace-period reservations apply equally to this supplemental disclosure.</w:t>
      </w:r>
    </w:p>
    <w:p>
      <w:r>
        <w:pict>
          <v:rect style="width:0;height:1.5pt" o:hralign="center" o:hrstd="t" o:hr="t"/>
        </w:pict>
      </w:r>
    </w:p>
    <w:bookmarkEnd w:id="10"/>
    <w:bookmarkStart w:id="12" w:name="purpose-and-legal-statement"/>
    <w:p>
      <w:pPr>
        <w:pStyle w:val="Heading2"/>
      </w:pPr>
      <w:r>
        <w:t xml:space="preserve">1. PURPOSE AND LEGAL STATEMENT</w:t>
      </w:r>
    </w:p>
    <w:p>
      <w:pPr>
        <w:pStyle w:val="FirstParagraph"/>
      </w:pPr>
      <w:r>
        <w:t xml:space="preserve">This technical disclosure is published to:</w:t>
      </w:r>
    </w:p>
    <w:p>
      <w:pPr>
        <w:pStyle w:val="Compact"/>
        <w:numPr>
          <w:ilvl w:val="0"/>
          <w:numId w:val="1001"/>
        </w:numPr>
      </w:pPr>
      <w:r>
        <w:t xml:space="preserve">Establish prior art under 35 U.S.C. § 102(a)(1) for all subject matter described or reasonably suggested herein.</w:t>
      </w:r>
    </w:p>
    <w:p>
      <w:pPr>
        <w:pStyle w:val="Compact"/>
        <w:numPr>
          <w:ilvl w:val="0"/>
          <w:numId w:val="1001"/>
        </w:numPr>
      </w:pPr>
      <w:r>
        <w:t xml:space="preserve">Place the disclosed Compritol-centric compositions, pH-dependent release behaviors, dissolution profiles, methods of manufacture, and embodiments into the public domain.</w:t>
      </w:r>
    </w:p>
    <w:p>
      <w:pPr>
        <w:pStyle w:val="Compact"/>
        <w:numPr>
          <w:ilvl w:val="0"/>
          <w:numId w:val="1001"/>
        </w:numPr>
      </w:pPr>
      <w:r>
        <w:t xml:space="preserve">Foreclose third-party patenting of the disclosed subject matter in the United States, the European Patent Office (EPC Art. 54), and other jurisdictions recognizing printed publications as prior art.</w:t>
      </w:r>
    </w:p>
    <w:p>
      <w:pPr>
        <w:pStyle w:val="FirstParagraph"/>
      </w:pPr>
      <w:r>
        <w:t xml:space="preserve">The discloser hereby dedicates all written content of this document to the public domain under</w:t>
      </w:r>
      <w:r>
        <w:t xml:space="preserve"> </w:t>
      </w:r>
      <w:hyperlink r:id="rId11">
        <w:r>
          <w:rPr>
            <w:rStyle w:val="Hyperlink"/>
          </w:rPr>
          <w:t xml:space="preserve">CC0 1.0 Universal</w:t>
        </w:r>
      </w:hyperlink>
      <w:r>
        <w:t xml:space="preserve">. The discloser reserves the inventor grace period rights under 35 U.S.C. § 102(b)(1)(A) (one year from this publication date in the United States only).</w:t>
      </w:r>
    </w:p>
    <w:p>
      <w:pPr>
        <w:pStyle w:val="BodyText"/>
      </w:pPr>
      <w:r>
        <w:t xml:space="preserve">This is a technical prior-art disclosure, not medical advice. None of the formulations or behaviors described herein have been evaluated by any regulatory authority. Any clinical use requires appropriate regulatory authorization.</w:t>
      </w:r>
    </w:p>
    <w:p>
      <w:r>
        <w:pict>
          <v:rect style="width:0;height:1.5pt" o:hralign="center" o:hrstd="t" o:hr="t"/>
        </w:pict>
      </w:r>
    </w:p>
    <w:bookmarkEnd w:id="12"/>
    <w:bookmarkStart w:id="13" w:name="field-of-the-disclosure"/>
    <w:p>
      <w:pPr>
        <w:pStyle w:val="Heading2"/>
      </w:pPr>
      <w:r>
        <w:t xml:space="preserve">2. FIELD OF THE DISCLOSURE</w:t>
      </w:r>
    </w:p>
    <w:p>
      <w:pPr>
        <w:pStyle w:val="FirstParagraph"/>
      </w:pPr>
      <w:r>
        <w:t xml:space="preserve">This disclosure relates to oral, sublingual, buccal, and other solid pharmaceutical dosage forms providing extended, sustained, controlled, modified, prolonged, delayed, pulsatile, biphasic, or zero-order release of one or more active pharmaceutical ingredients (</w:t>
      </w:r>
      <w:r>
        <w:t xml:space="preserve">“APIs”</w:t>
      </w:r>
      <w:r>
        <w:t xml:space="preserve">) from a lipid matrix in which</w:t>
      </w:r>
      <w:r>
        <w:t xml:space="preserve"> </w:t>
      </w:r>
      <w:r>
        <w:rPr>
          <w:b/>
          <w:bCs/>
        </w:rPr>
        <w:t xml:space="preserve">glyceryl behenate (also known as glyceryl dibehenate, glyceryl tribehenate, glyceryl di- and tri-behenate, behenoyl glycerides, and commercially as Compritol 888 ATO, Compritol HD5 ATO, Compritol E ATO, Compritol ATO 888, and equivalent products from any vendor)</w:t>
      </w:r>
      <w:r>
        <w:t xml:space="preserve"> </w:t>
      </w:r>
      <w:r>
        <w:t xml:space="preserve">is present as a sole or co-component of the release-controlling phase. The disclosure further relates to such compositions exhibiting</w:t>
      </w:r>
      <w:r>
        <w:t xml:space="preserve"> </w:t>
      </w:r>
      <w:r>
        <w:rPr>
          <w:b/>
          <w:bCs/>
        </w:rPr>
        <w:t xml:space="preserve">pH-dependent dissolution behavior</w:t>
      </w:r>
      <w:r>
        <w:t xml:space="preserve">, in which the rate or extent of API release in an acidic aqueous medium (e.g., pH 1.0 to 4.5) differs measurably from the rate or extent of release in a neutral or weakly basic aqueous medium (e.g., pH 5.5 to 8.0), regardless of the underlying mechanism producing such pH-dependence.</w:t>
      </w:r>
    </w:p>
    <w:p>
      <w:r>
        <w:pict>
          <v:rect style="width:0;height:1.5pt" o:hralign="center" o:hrstd="t" o:hr="t"/>
        </w:pict>
      </w:r>
    </w:p>
    <w:bookmarkEnd w:id="13"/>
    <w:bookmarkStart w:id="20" w:name="X58d5159b70dcf62dceed52d7e2c876b91b8458c"/>
    <w:p>
      <w:pPr>
        <w:pStyle w:val="Heading2"/>
      </w:pPr>
      <w:r>
        <w:t xml:space="preserve">3. GLYCERYL BEHENATE (COMPRITOL) GENUS — MAXIMALLY BROAD</w:t>
      </w:r>
    </w:p>
    <w:bookmarkStart w:id="14" w:name="identity-and-synonyms"/>
    <w:p>
      <w:pPr>
        <w:pStyle w:val="Heading3"/>
      </w:pPr>
      <w:r>
        <w:t xml:space="preserve">3.1 Identity and synonyms</w:t>
      </w:r>
    </w:p>
    <w:p>
      <w:pPr>
        <w:pStyle w:val="FirstParagraph"/>
      </w:pPr>
      <w:r>
        <w:t xml:space="preserve">For all purposes herein, the term</w:t>
      </w:r>
      <w:r>
        <w:t xml:space="preserve"> </w:t>
      </w:r>
      <w:r>
        <w:t xml:space="preserve">“glyceryl behenate”</w:t>
      </w:r>
      <w:r>
        <w:t xml:space="preserve"> </w:t>
      </w:r>
      <w:r>
        <w:t xml:space="preserve">is used interchangeably with and includes, without limitation:</w:t>
      </w:r>
    </w:p>
    <w:p>
      <w:pPr>
        <w:pStyle w:val="Compact"/>
        <w:numPr>
          <w:ilvl w:val="0"/>
          <w:numId w:val="1002"/>
        </w:numPr>
      </w:pPr>
      <w:r>
        <w:t xml:space="preserve">Glyceryl dibehenate</w:t>
      </w:r>
    </w:p>
    <w:p>
      <w:pPr>
        <w:pStyle w:val="Compact"/>
        <w:numPr>
          <w:ilvl w:val="0"/>
          <w:numId w:val="1002"/>
        </w:numPr>
      </w:pPr>
      <w:r>
        <w:t xml:space="preserve">Glyceryl tribehenate</w:t>
      </w:r>
    </w:p>
    <w:p>
      <w:pPr>
        <w:pStyle w:val="Compact"/>
        <w:numPr>
          <w:ilvl w:val="0"/>
          <w:numId w:val="1002"/>
        </w:numPr>
      </w:pPr>
      <w:r>
        <w:t xml:space="preserve">Glyceryl monobehenate</w:t>
      </w:r>
    </w:p>
    <w:p>
      <w:pPr>
        <w:pStyle w:val="Compact"/>
        <w:numPr>
          <w:ilvl w:val="0"/>
          <w:numId w:val="1002"/>
        </w:numPr>
      </w:pPr>
      <w:r>
        <w:t xml:space="preserve">Mixed mono-, di-, and tri-glycerides of behenic acid (C22)</w:t>
      </w:r>
    </w:p>
    <w:p>
      <w:pPr>
        <w:pStyle w:val="Compact"/>
        <w:numPr>
          <w:ilvl w:val="0"/>
          <w:numId w:val="1002"/>
        </w:numPr>
      </w:pPr>
      <w:r>
        <w:t xml:space="preserve">Behenoyl macrogol-glycerides</w:t>
      </w:r>
    </w:p>
    <w:p>
      <w:pPr>
        <w:pStyle w:val="Compact"/>
        <w:numPr>
          <w:ilvl w:val="0"/>
          <w:numId w:val="1002"/>
        </w:numPr>
      </w:pPr>
      <w:r>
        <w:t xml:space="preserve">Behenoyl polyoxyl-glycerides</w:t>
      </w:r>
    </w:p>
    <w:p>
      <w:pPr>
        <w:pStyle w:val="Compact"/>
        <w:numPr>
          <w:ilvl w:val="0"/>
          <w:numId w:val="1002"/>
        </w:numPr>
      </w:pPr>
      <w:r>
        <w:t xml:space="preserve">Behenic acid esters of glycerol or polyglycerol</w:t>
      </w:r>
    </w:p>
    <w:p>
      <w:pPr>
        <w:pStyle w:val="Compact"/>
        <w:numPr>
          <w:ilvl w:val="0"/>
          <w:numId w:val="1002"/>
        </w:numPr>
      </w:pPr>
      <w:r>
        <w:t xml:space="preserve">Compritol 888 ATO (Gattefossé)</w:t>
      </w:r>
    </w:p>
    <w:p>
      <w:pPr>
        <w:pStyle w:val="Compact"/>
        <w:numPr>
          <w:ilvl w:val="0"/>
          <w:numId w:val="1002"/>
        </w:numPr>
      </w:pPr>
      <w:r>
        <w:t xml:space="preserve">Compritol HD5 ATO (Gattefossé)</w:t>
      </w:r>
    </w:p>
    <w:p>
      <w:pPr>
        <w:pStyle w:val="Compact"/>
        <w:numPr>
          <w:ilvl w:val="0"/>
          <w:numId w:val="1002"/>
        </w:numPr>
      </w:pPr>
      <w:r>
        <w:t xml:space="preserve">Compritol E ATO (Gattefossé)</w:t>
      </w:r>
    </w:p>
    <w:p>
      <w:pPr>
        <w:pStyle w:val="Compact"/>
        <w:numPr>
          <w:ilvl w:val="0"/>
          <w:numId w:val="1002"/>
        </w:numPr>
      </w:pPr>
      <w:r>
        <w:t xml:space="preserve">Compritol ATO 888</w:t>
      </w:r>
    </w:p>
    <w:p>
      <w:pPr>
        <w:pStyle w:val="Compact"/>
        <w:numPr>
          <w:ilvl w:val="0"/>
          <w:numId w:val="1002"/>
        </w:numPr>
      </w:pPr>
      <w:r>
        <w:t xml:space="preserve">Glyceryl Behenate USP-NF, EP, JP</w:t>
      </w:r>
    </w:p>
    <w:p>
      <w:pPr>
        <w:pStyle w:val="Compact"/>
        <w:numPr>
          <w:ilvl w:val="0"/>
          <w:numId w:val="1002"/>
        </w:numPr>
      </w:pPr>
      <w:r>
        <w:t xml:space="preserve">Boltyn Behenate</w:t>
      </w:r>
    </w:p>
    <w:p>
      <w:pPr>
        <w:pStyle w:val="Compact"/>
        <w:numPr>
          <w:ilvl w:val="0"/>
          <w:numId w:val="1002"/>
        </w:numPr>
      </w:pPr>
      <w:r>
        <w:t xml:space="preserve">Generic and branded equivalents from any current or future supplier</w:t>
      </w:r>
    </w:p>
    <w:p>
      <w:pPr>
        <w:pStyle w:val="Compact"/>
        <w:numPr>
          <w:ilvl w:val="0"/>
          <w:numId w:val="1002"/>
        </w:numPr>
      </w:pPr>
      <w:r>
        <w:t xml:space="preserve">Custom-synthesized esters of behenic acid with glycerol of any monoester:diester:triester ratio</w:t>
      </w:r>
    </w:p>
    <w:p>
      <w:pPr>
        <w:pStyle w:val="Compact"/>
        <w:numPr>
          <w:ilvl w:val="0"/>
          <w:numId w:val="1002"/>
        </w:numPr>
      </w:pPr>
      <w:r>
        <w:t xml:space="preserve">Mixtures of behenic acid esters with esters of stearic, palmitic, lauric, myristic, arachidic, oleic, and other C12–C24 fatty acids</w:t>
      </w:r>
    </w:p>
    <w:p>
      <w:pPr>
        <w:pStyle w:val="Compact"/>
        <w:numPr>
          <w:ilvl w:val="0"/>
          <w:numId w:val="1002"/>
        </w:numPr>
      </w:pPr>
      <w:r>
        <w:t xml:space="preserve">Hydrogenated and partially hydrogenated forms of any of the foregoing</w:t>
      </w:r>
    </w:p>
    <w:p>
      <w:pPr>
        <w:pStyle w:val="FirstParagraph"/>
      </w:pPr>
      <w:r>
        <w:t xml:space="preserve">Any pharmaceutical excipient meeting any compendial monograph for glyceryl behenate (USP-NF, Ph. Eur., JP, BP, IP) or substantially equivalent in chemical identity is expressly disclosed as falling within this term.</w:t>
      </w:r>
    </w:p>
    <w:bookmarkEnd w:id="14"/>
    <w:bookmarkStart w:id="15" w:name="X2b9dc1d2bd51599c00d1917a2b4c62b75d9d9d1"/>
    <w:p>
      <w:pPr>
        <w:pStyle w:val="Heading3"/>
      </w:pPr>
      <w:r>
        <w:t xml:space="preserve">3.2 Glyceryl behenate as primary, sole, or sole-functional matrix former</w:t>
      </w:r>
    </w:p>
    <w:p>
      <w:pPr>
        <w:pStyle w:val="FirstParagraph"/>
      </w:pPr>
      <w:r>
        <w:t xml:space="preserve">Compositions in which glyceryl behenate is the</w:t>
      </w:r>
      <w:r>
        <w:t xml:space="preserve"> </w:t>
      </w:r>
      <w:r>
        <w:rPr>
          <w:b/>
          <w:bCs/>
        </w:rPr>
        <w:t xml:space="preserve">sole</w:t>
      </w:r>
      <w:r>
        <w:t xml:space="preserve"> </w:t>
      </w:r>
      <w:r>
        <w:t xml:space="preserve">lipid matrix former are expressly disclosed at any concentration from</w:t>
      </w:r>
      <w:r>
        <w:t xml:space="preserve"> </w:t>
      </w:r>
      <w:r>
        <w:rPr>
          <w:b/>
          <w:bCs/>
        </w:rPr>
        <w:t xml:space="preserve">about 1% to about 100% by weight</w:t>
      </w:r>
      <w:r>
        <w:t xml:space="preserve"> </w:t>
      </w:r>
      <w:r>
        <w:t xml:space="preserve">of the composition, including all sub-ranges:</w:t>
      </w:r>
    </w:p>
    <w:p>
      <w:pPr>
        <w:pStyle w:val="Compact"/>
        <w:numPr>
          <w:ilvl w:val="0"/>
          <w:numId w:val="1003"/>
        </w:numPr>
      </w:pPr>
      <w:r>
        <w:t xml:space="preserve">1–10% w/w</w:t>
      </w:r>
    </w:p>
    <w:p>
      <w:pPr>
        <w:pStyle w:val="Compact"/>
        <w:numPr>
          <w:ilvl w:val="0"/>
          <w:numId w:val="1003"/>
        </w:numPr>
      </w:pPr>
      <w:r>
        <w:t xml:space="preserve">5–20% w/w</w:t>
      </w:r>
    </w:p>
    <w:p>
      <w:pPr>
        <w:pStyle w:val="Compact"/>
        <w:numPr>
          <w:ilvl w:val="0"/>
          <w:numId w:val="1003"/>
        </w:numPr>
      </w:pPr>
      <w:r>
        <w:t xml:space="preserve">10–30% w/w</w:t>
      </w:r>
    </w:p>
    <w:p>
      <w:pPr>
        <w:pStyle w:val="Compact"/>
        <w:numPr>
          <w:ilvl w:val="0"/>
          <w:numId w:val="1003"/>
        </w:numPr>
      </w:pPr>
      <w:r>
        <w:t xml:space="preserve">15–40% w/w</w:t>
      </w:r>
    </w:p>
    <w:p>
      <w:pPr>
        <w:pStyle w:val="Compact"/>
        <w:numPr>
          <w:ilvl w:val="0"/>
          <w:numId w:val="1003"/>
        </w:numPr>
      </w:pPr>
      <w:r>
        <w:t xml:space="preserve">20–50% w/w</w:t>
      </w:r>
    </w:p>
    <w:p>
      <w:pPr>
        <w:pStyle w:val="Compact"/>
        <w:numPr>
          <w:ilvl w:val="0"/>
          <w:numId w:val="1003"/>
        </w:numPr>
      </w:pPr>
      <w:r>
        <w:t xml:space="preserve">25–55% w/w</w:t>
      </w:r>
    </w:p>
    <w:p>
      <w:pPr>
        <w:pStyle w:val="Compact"/>
        <w:numPr>
          <w:ilvl w:val="0"/>
          <w:numId w:val="1003"/>
        </w:numPr>
      </w:pPr>
      <w:r>
        <w:t xml:space="preserve">30–60% w/w</w:t>
      </w:r>
    </w:p>
    <w:p>
      <w:pPr>
        <w:pStyle w:val="Compact"/>
        <w:numPr>
          <w:ilvl w:val="0"/>
          <w:numId w:val="1003"/>
        </w:numPr>
      </w:pPr>
      <w:r>
        <w:t xml:space="preserve">35–65% w/w</w:t>
      </w:r>
    </w:p>
    <w:p>
      <w:pPr>
        <w:pStyle w:val="Compact"/>
        <w:numPr>
          <w:ilvl w:val="0"/>
          <w:numId w:val="1003"/>
        </w:numPr>
      </w:pPr>
      <w:r>
        <w:t xml:space="preserve">40–70% w/w</w:t>
      </w:r>
    </w:p>
    <w:p>
      <w:pPr>
        <w:pStyle w:val="Compact"/>
        <w:numPr>
          <w:ilvl w:val="0"/>
          <w:numId w:val="1003"/>
        </w:numPr>
      </w:pPr>
      <w:r>
        <w:t xml:space="preserve">45–75% w/w</w:t>
      </w:r>
    </w:p>
    <w:p>
      <w:pPr>
        <w:pStyle w:val="Compact"/>
        <w:numPr>
          <w:ilvl w:val="0"/>
          <w:numId w:val="1003"/>
        </w:numPr>
      </w:pPr>
      <w:r>
        <w:t xml:space="preserve">50–80% w/w</w:t>
      </w:r>
    </w:p>
    <w:p>
      <w:pPr>
        <w:pStyle w:val="Compact"/>
        <w:numPr>
          <w:ilvl w:val="0"/>
          <w:numId w:val="1003"/>
        </w:numPr>
      </w:pPr>
      <w:r>
        <w:t xml:space="preserve">60–90% w/w</w:t>
      </w:r>
    </w:p>
    <w:p>
      <w:pPr>
        <w:pStyle w:val="Compact"/>
        <w:numPr>
          <w:ilvl w:val="0"/>
          <w:numId w:val="1003"/>
        </w:numPr>
      </w:pPr>
      <w:r>
        <w:t xml:space="preserve">70–95% w/w</w:t>
      </w:r>
    </w:p>
    <w:p>
      <w:pPr>
        <w:pStyle w:val="Compact"/>
        <w:numPr>
          <w:ilvl w:val="0"/>
          <w:numId w:val="1003"/>
        </w:numPr>
      </w:pPr>
      <w:r>
        <w:t xml:space="preserve">80–99% w/w</w:t>
      </w:r>
    </w:p>
    <w:p>
      <w:pPr>
        <w:pStyle w:val="Compact"/>
        <w:numPr>
          <w:ilvl w:val="0"/>
          <w:numId w:val="1003"/>
        </w:numPr>
      </w:pPr>
      <w:r>
        <w:t xml:space="preserve">90–100% w/w</w:t>
      </w:r>
    </w:p>
    <w:p>
      <w:pPr>
        <w:pStyle w:val="Compact"/>
        <w:numPr>
          <w:ilvl w:val="0"/>
          <w:numId w:val="1003"/>
        </w:numPr>
      </w:pPr>
      <w:r>
        <w:t xml:space="preserve">Each integer % from 1% to 100% individually</w:t>
      </w:r>
    </w:p>
    <w:p>
      <w:pPr>
        <w:pStyle w:val="Compact"/>
        <w:numPr>
          <w:ilvl w:val="0"/>
          <w:numId w:val="1003"/>
        </w:numPr>
      </w:pPr>
      <w:r>
        <w:t xml:space="preserve">Each 0.5% increment from 1.0% to 100.0% individually</w:t>
      </w:r>
    </w:p>
    <w:bookmarkEnd w:id="15"/>
    <w:bookmarkStart w:id="16" w:name="X638432858795dfd1b228d125343530999d762c9"/>
    <w:p>
      <w:pPr>
        <w:pStyle w:val="Heading3"/>
      </w:pPr>
      <w:r>
        <w:t xml:space="preserve">3.3 Glyceryl behenate in binary, ternary, and higher-order combinations</w:t>
      </w:r>
    </w:p>
    <w:p>
      <w:pPr>
        <w:pStyle w:val="FirstParagraph"/>
      </w:pPr>
      <w:r>
        <w:t xml:space="preserve">Compositions in which glyceryl behenate is combined with</w:t>
      </w:r>
      <w:r>
        <w:t xml:space="preserve"> </w:t>
      </w:r>
      <w:r>
        <w:rPr>
          <w:b/>
          <w:bCs/>
        </w:rPr>
        <w:t xml:space="preserve">one or more</w:t>
      </w:r>
      <w:r>
        <w:t xml:space="preserve"> </w:t>
      </w:r>
      <w:r>
        <w:t xml:space="preserve">additional lipid, wax, fatty acid, fatty alcohol, polymeric, or surfactant matrix components are expressly disclosed at any weight ratio. The following non-exhaustive list of co-components is expressly disclosed in any pairwise or higher-order combination with glyceryl behenate at any ratio from 1:99 to 99:1, and at any total combined w/w in the composition from 5% to 99%:</w:t>
      </w:r>
    </w:p>
    <w:p>
      <w:pPr>
        <w:pStyle w:val="BodyText"/>
      </w:pPr>
      <w:r>
        <w:t xml:space="preserve">Glyceryl palmitostearate (Precirol ATO 5); glyceryl monostearate; glyceryl distearate; glyceryl tristearate (tristearin); glyceryl monopalmitate; glyceryl dipalmitate; glyceryl tripalmitate; glyceryl monolaurate; glyceryl dilaurate; glyceryl trilaurate; glyceryl monomyristate; glyceryl dimyristate; glyceryl trimyristate; glyceryl monocaprylate; glyceryl dicaprylate; glyceryl monocaprate; glyceryl dicaprate; glyceryl monocaprylocaprate; glyceryl monooleate (Peceol); glyceryl dioleate; glyceryl trioleate; glyceryl monolinoleate (Maisine); glyceryl ricinoleate; mixed mono-, di-, and triglycerides of any chain length C6–C24; Compritol HD5 ATO; Geleol Mono/Diglycerides NF; Imwitor 491; Imwitor 900; Imwitor 988; Imwitor 308; Dynasan 114; Dynasan 116; Dynasan 118; Dynasan P 60; Sterotex; Sterotex K; Lubritab; Cutina HR; hydrogenated castor oil; hydrogenated cottonseed oil; hydrogenated soybean oil; hydrogenated palm oil; hydrogenated palm kernel oil; hydrogenated coconut oil; hydrogenated peanut oil; hydrogenated rapeseed oil; hydrogenated sunflower oil; hydrogenated rice bran oil; hydrogenated vegetable oils generally; carnauba wax; candelilla wax; beeswax (white or yellow); microcrystalline wax; paraffin wax; ozokerite; ceresin; Japan wax; jojoba wax; rice bran wax; sunflower wax; bayberry wax; lanolin and lanolin alcohols; cetyl esters wax; petrolatum; polyethylene wax; Fischer-Tropsch wax; oxidized polyethylene wax; stearic acid; palmitic acid; behenic acid; arachidic acid; lauric acid; myristic acid; oleic acid; linoleic acid; linolenic acid; ricinoleic acid; 12-hydroxystearic acid; sodium, potassium, calcium, magnesium, zinc, and aluminum salts of any of the foregoing fatty acids; stearyl alcohol; cetyl alcohol; cetostearyl alcohol; behenyl alcohol; myristyl alcohol; lauryl alcohol; oleyl alcohol; arachidyl alcohol; mixtures of C16–C24 saturated and mono-unsaturated alcohols; Gelucire 33/01; Gelucire 39/01; Gelucire 43/01; Gelucire 44/14; Gelucire 48/16; Gelucire 50/13; Gelucire 53/10; Gelucire 62/05; lauroyl macrogol-32 glycerides; lauroyl polyoxyl-32 glycerides; stearoyl macrogol-32 glycerides; stearoyl polyoxyl-32 glycerides; oleoyl macrogol-6 glycerides (Labrafil M 1944 CS); linoleoyl macrogol-6 glycerides (Labrafil M 2125 CS); caprylocaproyl macrogol-8 glycerides (Labrasol); sucrose monostearate; sucrose distearate; sucrose monopalmitate; sucrose monolaurate; sucrose monomyristate; sucrose monobehenate; sucrose esters of HLB 1–16; polyglyceryl-2 stearate; polyglyceryl-3 stearate; polyglyceryl-6 stearate; polyglyceryl-10 stearate; polyglyceryl-2 dipolyhydroxystearate; polyglyceryl-3 polyricinoleate; sorbitan monolaurate (Span 20); sorbitan monopalmitate (Span 40); sorbitan monostearate (Span 60); sorbitan tristearate (Span 65); sorbitan monooleate (Span 80); sorbitan trioleate (Span 85); sorbitan sesquioleate; soybean lecithin; egg lecithin; hydrogenated soybean phosphatidylcholine; hydrogenated egg phosphatidylcholine; distearoylphosphatidylcholine (DSPC); dipalmitoylphosphatidylcholine (DPPC); cholesterol; β-sitosterol; stigmasterol; campesterol; cholesteryl palmitate; cholesteryl stearate; cholesteryl oleate; phytosterol esters; cocoa butter; shea butter; murumuru butter; cupuaçu butter; mango butter; kokum butter; illipe butter; any natural or fractionated triglyceride butter with melting point ≥30 °C; polyglycerol polyricinoleate (PGPR); structured triglycerides; behenoyl polyoxyl-8 glycerides (Compritol HD5 ATO); stearoyl polyoxyl-32 glycerides (Gelot 64).</w:t>
      </w:r>
    </w:p>
    <w:p>
      <w:pPr>
        <w:pStyle w:val="BodyText"/>
      </w:pPr>
      <w:r>
        <w:t xml:space="preserve">For each such co-component, all pairwise weight ratios with glyceryl behenate from 99:1 through 1:99 (in 1% increments) are expressly disclosed. All ternary, quaternary, and higher-order combinations summing to a total lipid matrix content from 5% to 99% w/w of the composition are expressly disclosed.</w:t>
      </w:r>
    </w:p>
    <w:bookmarkEnd w:id="16"/>
    <w:bookmarkStart w:id="17" w:name="X56cba43c88548fb2b24423da4d97ceb6a3ef242"/>
    <w:p>
      <w:pPr>
        <w:pStyle w:val="Heading3"/>
      </w:pPr>
      <w:r>
        <w:t xml:space="preserve">3.4 Glyceryl behenate with hydrophilic and amphiphilic co-excipients</w:t>
      </w:r>
    </w:p>
    <w:p>
      <w:pPr>
        <w:pStyle w:val="FirstParagraph"/>
      </w:pPr>
      <w:r>
        <w:t xml:space="preserve">Glyceryl behenate-containing compositions further comprising any of the following hydrophilic, amphiphilic, ionic, or polymeric co-excipients are expressly disclosed at any weight percentage from 0% to 50% w/w of the composition:</w:t>
      </w:r>
    </w:p>
    <w:p>
      <w:pPr>
        <w:pStyle w:val="BodyText"/>
      </w:pPr>
      <w:r>
        <w:t xml:space="preserve">Polyethylene glycols of any molecular weight from 200 to 35,000 (PEG 200, 300, 400, 600, 1000, 1450, 1500, 2000, 3000, 3350, 4000, 6000, 8000, 10000, 20000, 35000); polyethylene oxide of any molecular weight from 100,000 to 7,000,000; methoxy-PEGs; PEG-PPG copolymers; poloxamers (Pluronic L44, F68, F87, F108, F127, all grades); polysorbates 20, 40, 60, 80, 85; polyoxyl 35 castor oil (Cremophor EL); polyoxyl 40 hydrogenated castor oil (Cremophor RH40); polyoxyl 15 hydroxystearate (Solutol HS 15); D-α-tocopheryl polyethylene glycol 1000 succinate (vitamin E TPGS) and analogs of any PEG chain length; sodium lauryl sulfate; sodium docusate; bile salts and bile acid analogs; HPMC of any viscosity grade as a</w:t>
      </w:r>
      <w:r>
        <w:t xml:space="preserve"> </w:t>
      </w:r>
      <w:r>
        <w:rPr>
          <w:i/>
          <w:iCs/>
        </w:rPr>
        <w:t xml:space="preserve">minor</w:t>
      </w:r>
      <w:r>
        <w:t xml:space="preserve"> </w:t>
      </w:r>
      <w:r>
        <w:t xml:space="preserve">(≤30% w/w) co-excipient; hydroxypropyl cellulose (HPC); hydroxyethyl cellulose; methylcellulose; sodium carboxymethyl cellulose; PVP K-12, K-17, K-25, K-30, K-60, K-90; copovidone (PVP/VA); polyvinyl alcohol; polyacrylic acid (Carbomer); sodium alginate; calcium alginate; xanthan gum; guar gum; locust bean gum; gellan gum; pullulan; chitosan; carrageenan; agar; pectin; tragacanth; karaya; pre-gelatinized starch; native starch; maltodextrin; cyclodextrins (α, β, γ, HP-β-CD, SBE-β-CD); mannitol; sorbitol; xylitol; maltitol; lactitol; isomalt; erythritol; lactose monohydrate; lactose anhydrous; spray-dried lactose; sucrose; dextrose; fructose; trehalose; sodium chloride; potassium chloride; sodium citrate; sodium acetate; sodium bicarbonate; sodium carbonate; calcium carbonate; calcium phosphate (mono-, di-, tri-basic); microcrystalline cellulose (MCC, all grades); silicified MCC; co-processed cellulose excipients (Prosolv, Avicel HFE, Cellactose, Ludipress, MicroceLac, StarLac, RetaLac, Pharmaburst); colloidal silicon dioxide (Aerosil, Cab-O-Sil); fumed silica; magnesium silicate; calcium silicate; talc; magnesium stearate; calcium stearate; zinc stearate; sodium stearyl fumarate; stearic acid (lubricant function); leucine.</w:t>
      </w:r>
    </w:p>
    <w:bookmarkEnd w:id="17"/>
    <w:bookmarkStart w:id="18" w:name="X31cc9226e69c3e8d0c5ade1a1f3cc17129c2e0d"/>
    <w:p>
      <w:pPr>
        <w:pStyle w:val="Heading3"/>
      </w:pPr>
      <w:r>
        <w:t xml:space="preserve">3.5 Glyceryl behenate with functional or non-functional coatings</w:t>
      </w:r>
    </w:p>
    <w:p>
      <w:pPr>
        <w:pStyle w:val="FirstParagraph"/>
      </w:pPr>
      <w:r>
        <w:t xml:space="preserve">Glyceryl behenate-containing matrix compositions further comprising one or more of the following coating systems applied as one or more layers (single-layer, multi-layer, or sequential) are expressly disclosed:</w:t>
      </w:r>
    </w:p>
    <w:p>
      <w:pPr>
        <w:pStyle w:val="BodyText"/>
      </w:pPr>
      <w:r>
        <w:t xml:space="preserve">Non-functional film coats: HPMC-based (Opadry I, II, QX, white or colored), polyvinyl alcohol-based, sugar coats, shellac (sealant only).</w:t>
      </w:r>
    </w:p>
    <w:p>
      <w:pPr>
        <w:pStyle w:val="BodyText"/>
      </w:pPr>
      <w:r>
        <w:t xml:space="preserve">Enteric / pH-responsive coats: Eudragit L100, Eudragit L100-55 (methacrylic acid - ethyl acrylate copolymer 1:1), Eudragit S100, Eudragit FS 30D, Eudragit L 30 D-55, Eudragit L 12.5; HPMC-AS (LF, MF, HF grades, Aqoat-AS); HPMC-P (HP-50, HP-55, HPMCP HP-55S); cellulose acetate phthalate (CAP, Aquacoat CPD); polyvinyl acetate phthalate (PVAP, Sureteric); zein; shellac; carboxymethylethylcellulose; hydroxypropyl methylcellulose acetate phthalate; HPMC-acetate succinate.</w:t>
      </w:r>
    </w:p>
    <w:p>
      <w:pPr>
        <w:pStyle w:val="BodyText"/>
      </w:pPr>
      <w:r>
        <w:t xml:space="preserve">Sustained-release coats: Eudragit RS 100, Eudragit RS 30D, Eudragit RL 100, Eudragit RL 30D, Eudragit NE 30D, Eudragit NE 40D; ethylcellulose (Aquacoat ECD, Surelease, Ethocel of any viscosity grade); cellulose acetate (semipermeable membrane); ethylene-vinyl acetate copolymers; silicone elastomers.</w:t>
      </w:r>
    </w:p>
    <w:p>
      <w:pPr>
        <w:pStyle w:val="BodyText"/>
      </w:pPr>
      <w:r>
        <w:t xml:space="preserve">Delayed / pulsatile / time-controlled coats: Eudragit E (gastric protection), Eudragit FS (colonic targeting), CODES-type, OROS Push-Stick, Pulsincap-type, time-lag coats based on hydrophilic polymers, redox-responsive coats, enzyme-responsive coats.</w:t>
      </w:r>
    </w:p>
    <w:p>
      <w:pPr>
        <w:pStyle w:val="BodyText"/>
      </w:pPr>
      <w:r>
        <w:t xml:space="preserve">Gastro-retentive coats and additives: floating systems; mucoadhesive coats (Carbopol, chitosan, thiomers); expanding/swelling systems; magnetic-retention coats; raft-forming coats.</w:t>
      </w:r>
    </w:p>
    <w:p>
      <w:pPr>
        <w:pStyle w:val="BodyText"/>
      </w:pPr>
      <w:r>
        <w:t xml:space="preserve">Coating weight gain: any value from</w:t>
      </w:r>
      <w:r>
        <w:t xml:space="preserve"> </w:t>
      </w:r>
      <w:r>
        <w:rPr>
          <w:b/>
          <w:bCs/>
        </w:rPr>
        <w:t xml:space="preserve">0.5% to 50%</w:t>
      </w:r>
      <w:r>
        <w:t xml:space="preserve"> </w:t>
      </w:r>
      <w:r>
        <w:t xml:space="preserve">of the uncoated core weight.</w:t>
      </w:r>
    </w:p>
    <w:bookmarkEnd w:id="18"/>
    <w:bookmarkStart w:id="19" w:name="Xef20fdc529e6ae7aff8745dd6b080d81dec31a4"/>
    <w:p>
      <w:pPr>
        <w:pStyle w:val="Heading3"/>
      </w:pPr>
      <w:r>
        <w:t xml:space="preserve">3.6 Glyceryl behenate-based dosage form genus</w:t>
      </w:r>
    </w:p>
    <w:p>
      <w:pPr>
        <w:pStyle w:val="FirstParagraph"/>
      </w:pPr>
      <w:r>
        <w:t xml:space="preserve">For each of the compositions described in §§3.2–3.5, the following dosage forms and presentations are each expressly disclosed:</w:t>
      </w:r>
    </w:p>
    <w:p>
      <w:pPr>
        <w:pStyle w:val="BodyText"/>
      </w:pPr>
      <w:r>
        <w:t xml:space="preserve">Tablets: round, oval, oblong, caplet, biconvex, flat-faced, scored, embossed, debossed; mono-, bi-, tri-, multi-layer; tablet-in-tablet (compression-coated); inlay tablets; mini-tablets (1–4 mm); micro-tablets (&lt;1 mm); osmotic-coated tablets; effervescent tablets; chewable tablets.</w:t>
      </w:r>
    </w:p>
    <w:p>
      <w:pPr>
        <w:pStyle w:val="BodyText"/>
      </w:pPr>
      <w:r>
        <w:t xml:space="preserve">Capsules: hard gelatin (sizes 000, 00, 0, 1, 2, 3, 4, 5); hard hypromellose (HPMC); hard pullulan; soft gelatin; sprinkle capsules; liquid-filled hard capsules (with molten lipid fill).</w:t>
      </w:r>
    </w:p>
    <w:p>
      <w:pPr>
        <w:pStyle w:val="BodyText"/>
      </w:pPr>
      <w:r>
        <w:t xml:space="preserve">Multi-particulate systems: pellets (0.5–3 mm); beads; microspheres (1 μm–500 μm); nanoparticles (10 nm–1000 nm); microparticles; granules; powders. Filled into capsules, sachets, stick-packs, oral suspensions, or compressed into MUPS tablets that disintegrate to release intact glyceryl-behenate-containing particles.</w:t>
      </w:r>
    </w:p>
    <w:p>
      <w:pPr>
        <w:pStyle w:val="BodyText"/>
      </w:pPr>
      <w:r>
        <w:t xml:space="preserve">Sachets, stick-packs, ODT, sublingual, buccal, chewable, gummy, films, lozenges, troches, medicated chewing gums.</w:t>
      </w:r>
    </w:p>
    <w:p>
      <w:pPr>
        <w:pStyle w:val="BodyText"/>
      </w:pPr>
      <w:r>
        <w:t xml:space="preserve">Implants, depots, transdermal, topical formulations using glyceryl behenate as a structuring or release-modifying agent.</w:t>
      </w:r>
    </w:p>
    <w:p>
      <w:pPr>
        <w:pStyle w:val="BodyText"/>
      </w:pPr>
      <w:r>
        <w:t xml:space="preserve">Inhalation and nasal forms in which glyceryl behenate participates as a carrier or matrix component.</w:t>
      </w:r>
    </w:p>
    <w:p>
      <w:r>
        <w:pict>
          <v:rect style="width:0;height:1.5pt" o:hralign="center" o:hrstd="t" o:hr="t"/>
        </w:pict>
      </w:r>
    </w:p>
    <w:bookmarkEnd w:id="19"/>
    <w:bookmarkEnd w:id="20"/>
    <w:bookmarkStart w:id="25" w:name="X58ae1c708544582cd3c6d7a6d7850e174191367"/>
    <w:p>
      <w:pPr>
        <w:pStyle w:val="Heading2"/>
      </w:pPr>
      <w:r>
        <w:t xml:space="preserve">4. pH-DEPENDENT EXTENDED RELEASE — BROAD GENUS</w:t>
      </w:r>
    </w:p>
    <w:bookmarkStart w:id="21" w:name="definition"/>
    <w:p>
      <w:pPr>
        <w:pStyle w:val="Heading3"/>
      </w:pPr>
      <w:r>
        <w:t xml:space="preserve">4.1 Definition</w:t>
      </w:r>
    </w:p>
    <w:p>
      <w:pPr>
        <w:pStyle w:val="FirstParagraph"/>
      </w:pPr>
      <w:r>
        <w:t xml:space="preserve">For all purposes herein, a composition is said to exhibit</w:t>
      </w:r>
      <w:r>
        <w:t xml:space="preserve"> </w:t>
      </w:r>
      <w:r>
        <w:rPr>
          <w:b/>
          <w:bCs/>
        </w:rPr>
        <w:t xml:space="preserve">“pH-dependent extended release”</w:t>
      </w:r>
      <w:r>
        <w:t xml:space="preserve"> </w:t>
      </w:r>
      <w:r>
        <w:t xml:space="preserve">if, when tested in vitro under any standard or biorelevant dissolution conditions (USP Apparatus 1, 2, 3, 4, 5, 6, or 7; volumes 100–4000 mL; agitation 25–250 rpm; temperature 37 ± 0.5 °C), the cumulative percentage of API released into an acidic aqueous medium (pH 1.0 to 4.5, including 0.1 N HCl, pH 1.2 phosphate buffer, simulated gastric fluid with or without enzymes, FaSSGF, FeSSGF, acetate buffer pH 4.5) at a given time point t differs by</w:t>
      </w:r>
      <w:r>
        <w:t xml:space="preserve"> </w:t>
      </w:r>
      <w:r>
        <w:rPr>
          <w:b/>
          <w:bCs/>
        </w:rPr>
        <w:t xml:space="preserve">a factor of at least about 1.2</w:t>
      </w:r>
      <w:r>
        <w:t xml:space="preserve"> </w:t>
      </w:r>
      <w:r>
        <w:t xml:space="preserve">from the cumulative percentage released into a neutral or weakly basic aqueous medium (pH 5.5 to 8.0, including pH 6.8 phosphate buffer, pH 7.2 phosphate buffer, pH 7.4 phosphate buffer, simulated intestinal fluid with or without enzymes, FaSSIF V1/V2/V3, FeSSIF V1/V2/V3, milk, and any biorelevant medium) at the same time point t.</w:t>
      </w:r>
    </w:p>
    <w:bookmarkEnd w:id="21"/>
    <w:bookmarkStart w:id="22" w:name="ph-dependence-ratios-broad-to-specific"/>
    <w:p>
      <w:pPr>
        <w:pStyle w:val="Heading3"/>
      </w:pPr>
      <w:r>
        <w:t xml:space="preserve">4.2 pH-dependence ratios — broad to specific</w:t>
      </w:r>
    </w:p>
    <w:p>
      <w:pPr>
        <w:pStyle w:val="FirstParagraph"/>
      </w:pPr>
      <w:r>
        <w:t xml:space="preserve">For any time point t between</w:t>
      </w:r>
      <w:r>
        <w:t xml:space="preserve"> </w:t>
      </w:r>
      <w:r>
        <w:rPr>
          <w:b/>
          <w:bCs/>
        </w:rPr>
        <w:t xml:space="preserve">5 minutes and 24 hours</w:t>
      </w:r>
      <w:r>
        <w:t xml:space="preserve">, compositions exhibiting any of the following ratio relationships between acidic and neutral medium dissolution are expressly disclosed: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Ratio (acidic % release ÷ neutral % release) at time t</w:t>
            </w:r>
          </w:p>
        </w:tc>
        <w:tc>
          <w:tcPr/>
          <w:p>
            <w:pPr>
              <w:pStyle w:val="Compact"/>
            </w:pPr>
            <w:r>
              <w:t xml:space="preserve">Description</w:t>
            </w:r>
          </w:p>
        </w:tc>
      </w:tr>
      <w:tr>
        <w:tc>
          <w:tcPr/>
          <w:p>
            <w:pPr>
              <w:pStyle w:val="Compact"/>
            </w:pPr>
            <w:r>
              <w:t xml:space="preserve">≥ 1.2</w:t>
            </w:r>
          </w:p>
        </w:tc>
        <w:tc>
          <w:tcPr/>
          <w:p>
            <w:pPr>
              <w:pStyle w:val="Compact"/>
            </w:pPr>
            <w:r>
              <w:t xml:space="preserve">Minimal pH-dependence</w:t>
            </w:r>
          </w:p>
        </w:tc>
      </w:tr>
      <w:tr>
        <w:tc>
          <w:tcPr/>
          <w:p>
            <w:pPr>
              <w:pStyle w:val="Compact"/>
            </w:pPr>
            <w:r>
              <w:t xml:space="preserve">≥ 1.5</w:t>
            </w:r>
          </w:p>
        </w:tc>
        <w:tc>
          <w:tcPr/>
          <w:p>
            <w:pPr>
              <w:pStyle w:val="Compact"/>
            </w:pPr>
            <w:r>
              <w:t xml:space="preserve">Modest pH-dependence</w:t>
            </w:r>
          </w:p>
        </w:tc>
      </w:tr>
      <w:tr>
        <w:tc>
          <w:tcPr/>
          <w:p>
            <w:pPr>
              <w:pStyle w:val="Compact"/>
            </w:pPr>
            <w:r>
              <w:t xml:space="preserve">≥ 2.0</w:t>
            </w:r>
          </w:p>
        </w:tc>
        <w:tc>
          <w:tcPr/>
          <w:p>
            <w:pPr>
              <w:pStyle w:val="Compact"/>
            </w:pPr>
            <w:r>
              <w:t xml:space="preserve">Clear pH-dependence</w:t>
            </w:r>
          </w:p>
        </w:tc>
      </w:tr>
      <w:tr>
        <w:tc>
          <w:tcPr/>
          <w:p>
            <w:pPr>
              <w:pStyle w:val="Compact"/>
            </w:pPr>
            <w:r>
              <w:t xml:space="preserve">≥ 3.0</w:t>
            </w:r>
          </w:p>
        </w:tc>
        <w:tc>
          <w:tcPr/>
          <w:p>
            <w:pPr>
              <w:pStyle w:val="Compact"/>
            </w:pPr>
            <w:r>
              <w:t xml:space="preserve">Substantial pH-dependence</w:t>
            </w:r>
          </w:p>
        </w:tc>
      </w:tr>
      <w:tr>
        <w:tc>
          <w:tcPr/>
          <w:p>
            <w:pPr>
              <w:pStyle w:val="Compact"/>
            </w:pPr>
            <w:r>
              <w:t xml:space="preserve">≥ 5.0</w:t>
            </w:r>
          </w:p>
        </w:tc>
        <w:tc>
          <w:tcPr/>
          <w:p>
            <w:pPr>
              <w:pStyle w:val="Compact"/>
            </w:pPr>
            <w:r>
              <w:t xml:space="preserve">High pH-dependence</w:t>
            </w:r>
          </w:p>
        </w:tc>
      </w:tr>
      <w:tr>
        <w:tc>
          <w:tcPr/>
          <w:p>
            <w:pPr>
              <w:pStyle w:val="Compact"/>
            </w:pPr>
            <w:r>
              <w:t xml:space="preserve">≥ 10.0</w:t>
            </w:r>
          </w:p>
        </w:tc>
        <w:tc>
          <w:tcPr/>
          <w:p>
            <w:pPr>
              <w:pStyle w:val="Compact"/>
            </w:pPr>
            <w:r>
              <w:t xml:space="preserve">Very high pH-dependence</w:t>
            </w:r>
          </w:p>
        </w:tc>
      </w:tr>
      <w:tr>
        <w:tc>
          <w:tcPr/>
          <w:p>
            <w:pPr>
              <w:pStyle w:val="Compact"/>
            </w:pPr>
            <w:r>
              <w:t xml:space="preserve">≥ 20.0</w:t>
            </w:r>
          </w:p>
        </w:tc>
        <w:tc>
          <w:tcPr/>
          <w:p>
            <w:pPr>
              <w:pStyle w:val="Compact"/>
            </w:pPr>
            <w:r>
              <w:t xml:space="preserve">Extreme pH-dependence</w:t>
            </w:r>
          </w:p>
        </w:tc>
      </w:tr>
      <w:tr>
        <w:tc>
          <w:tcPr/>
          <w:p>
            <w:pPr>
              <w:pStyle w:val="Compact"/>
            </w:pPr>
            <w:r>
              <w:t xml:space="preserve">≥ 50.0</w:t>
            </w:r>
          </w:p>
        </w:tc>
        <w:tc>
          <w:tcPr/>
          <w:p>
            <w:pPr>
              <w:pStyle w:val="Compact"/>
            </w:pPr>
            <w:r>
              <w:t xml:space="preserve">Near-exclusive acidic release</w:t>
            </w:r>
          </w:p>
        </w:tc>
      </w:tr>
      <w:tr>
        <w:tc>
          <w:tcPr/>
          <w:p>
            <w:pPr>
              <w:pStyle w:val="Compact"/>
            </w:pPr>
            <w:r>
              <w:t xml:space="preserve">≥ 100.0</w:t>
            </w:r>
          </w:p>
        </w:tc>
        <w:tc>
          <w:tcPr/>
          <w:p>
            <w:pPr>
              <w:pStyle w:val="Compact"/>
            </w:pPr>
            <w:r>
              <w:t xml:space="preserve">Effectively acid-only release at time t</w:t>
            </w:r>
          </w:p>
        </w:tc>
      </w:tr>
    </w:tbl>
    <w:p>
      <w:pPr>
        <w:pStyle w:val="BodyText"/>
      </w:pPr>
      <w:r>
        <w:t xml:space="preserve">Compositions exhibiting any such ratio at any one or more of the following time points are expressly disclosed: 5, 10, 15, 30, 45 minutes; 1, 2, 3, 4, 5, 6, 7, 8, 9, 10, 11, 12, 16, 18, 20, 24 hours, and all intermediate times.</w:t>
      </w:r>
    </w:p>
    <w:bookmarkEnd w:id="22"/>
    <w:bookmarkStart w:id="23" w:name="X73ca545b03d48e48eabcc515c59c754a5eada65"/>
    <w:p>
      <w:pPr>
        <w:pStyle w:val="Heading3"/>
      </w:pPr>
      <w:r>
        <w:t xml:space="preserve">4.3 pH-dependent dissolution profile — acceptance ranges</w:t>
      </w:r>
    </w:p>
    <w:p>
      <w:pPr>
        <w:pStyle w:val="FirstParagraph"/>
      </w:pPr>
      <w:r>
        <w:t xml:space="preserve">Compositions exhibiting cumulative percentage release falling within any of the following ranges (each range, each combination of ranges, each sub-range, and each integer percent within each range expressly disclosed) under USP Apparatus 2, 50–100 rpm, 900 mL, 37 ± 0.5 °C, are expressly disclosed:</w:t>
      </w:r>
    </w:p>
    <w:p>
      <w:pPr>
        <w:pStyle w:val="BodyText"/>
      </w:pPr>
      <w:r>
        <w:rPr>
          <w:b/>
          <w:bCs/>
        </w:rPr>
        <w:t xml:space="preserve">Acidic medium (pH 1.0 to 4.5):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Disclosed cumulative % release range</w:t>
            </w:r>
          </w:p>
        </w:tc>
      </w:tr>
      <w:tr>
        <w:tc>
          <w:tcPr/>
          <w:p>
            <w:pPr>
              <w:pStyle w:val="Compact"/>
            </w:pPr>
            <w:r>
              <w:t xml:space="preserve">5 min</w:t>
            </w:r>
          </w:p>
        </w:tc>
        <w:tc>
          <w:tcPr/>
          <w:p>
            <w:pPr>
              <w:pStyle w:val="Compact"/>
            </w:pPr>
            <w:r>
              <w:t xml:space="preserve">0–25% (preferably 0–15%, more preferably 0–10%)</w:t>
            </w:r>
          </w:p>
        </w:tc>
      </w:tr>
      <w:tr>
        <w:tc>
          <w:tcPr/>
          <w:p>
            <w:pPr>
              <w:pStyle w:val="Compact"/>
            </w:pPr>
            <w:r>
              <w:t xml:space="preserve">15 min</w:t>
            </w:r>
          </w:p>
        </w:tc>
        <w:tc>
          <w:tcPr/>
          <w:p>
            <w:pPr>
              <w:pStyle w:val="Compact"/>
            </w:pPr>
            <w:r>
              <w:t xml:space="preserve">0–35% (preferably 0–20%)</w:t>
            </w:r>
          </w:p>
        </w:tc>
      </w:tr>
      <w:tr>
        <w:tc>
          <w:tcPr/>
          <w:p>
            <w:pPr>
              <w:pStyle w:val="Compact"/>
            </w:pPr>
            <w:r>
              <w:t xml:space="preserve">30 min</w:t>
            </w:r>
          </w:p>
        </w:tc>
        <w:tc>
          <w:tcPr/>
          <w:p>
            <w:pPr>
              <w:pStyle w:val="Compact"/>
            </w:pPr>
            <w:r>
              <w:t xml:space="preserve">0–50% (preferably 0–30%)</w:t>
            </w:r>
          </w:p>
        </w:tc>
      </w:tr>
      <w:tr>
        <w:tc>
          <w:tcPr/>
          <w:p>
            <w:pPr>
              <w:pStyle w:val="Compact"/>
            </w:pPr>
            <w:r>
              <w:t xml:space="preserve">1 hour</w:t>
            </w:r>
          </w:p>
        </w:tc>
        <w:tc>
          <w:tcPr/>
          <w:p>
            <w:pPr>
              <w:pStyle w:val="Compact"/>
            </w:pPr>
            <w:r>
              <w:t xml:space="preserve">0–60% (preferably 1–40%, also 5–30%, also 10–25%)</w:t>
            </w:r>
          </w:p>
        </w:tc>
      </w:tr>
      <w:tr>
        <w:tc>
          <w:tcPr/>
          <w:p>
            <w:pPr>
              <w:pStyle w:val="Compact"/>
            </w:pPr>
            <w:r>
              <w:t xml:space="preserve">2 hours</w:t>
            </w:r>
          </w:p>
        </w:tc>
        <w:tc>
          <w:tcPr/>
          <w:p>
            <w:pPr>
              <w:pStyle w:val="Compact"/>
            </w:pPr>
            <w:r>
              <w:t xml:space="preserve">0–80% (preferably 5–60%, also 15–50%, also 20–45%)</w:t>
            </w:r>
          </w:p>
        </w:tc>
      </w:tr>
      <w:tr>
        <w:tc>
          <w:tcPr/>
          <w:p>
            <w:pPr>
              <w:pStyle w:val="Compact"/>
            </w:pPr>
            <w:r>
              <w:t xml:space="preserve">4 hours</w:t>
            </w:r>
          </w:p>
        </w:tc>
        <w:tc>
          <w:tcPr/>
          <w:p>
            <w:pPr>
              <w:pStyle w:val="Compact"/>
            </w:pPr>
            <w:r>
              <w:t xml:space="preserve">5–100% (preferably 30–95%, also 40–85%, also 50–80%)</w:t>
            </w:r>
          </w:p>
        </w:tc>
      </w:tr>
      <w:tr>
        <w:tc>
          <w:tcPr/>
          <w:p>
            <w:pPr>
              <w:pStyle w:val="Compact"/>
            </w:pPr>
            <w:r>
              <w:t xml:space="preserve">6 hours</w:t>
            </w:r>
          </w:p>
        </w:tc>
        <w:tc>
          <w:tcPr/>
          <w:p>
            <w:pPr>
              <w:pStyle w:val="Compact"/>
            </w:pPr>
            <w:r>
              <w:t xml:space="preserve">30–100% (preferably 60–100%, also 70–95%, also 80–95%)</w:t>
            </w:r>
          </w:p>
        </w:tc>
      </w:tr>
      <w:tr>
        <w:tc>
          <w:tcPr/>
          <w:p>
            <w:pPr>
              <w:pStyle w:val="Compact"/>
            </w:pPr>
            <w:r>
              <w:t xml:space="preserve">8 hours</w:t>
            </w:r>
          </w:p>
        </w:tc>
        <w:tc>
          <w:tcPr/>
          <w:p>
            <w:pPr>
              <w:pStyle w:val="Compact"/>
            </w:pPr>
            <w:r>
              <w:t xml:space="preserve">50–110% (preferably 80–110%, also 90–105%)</w:t>
            </w:r>
          </w:p>
        </w:tc>
      </w:tr>
      <w:tr>
        <w:tc>
          <w:tcPr/>
          <w:p>
            <w:pPr>
              <w:pStyle w:val="Compact"/>
            </w:pPr>
            <w:r>
              <w:t xml:space="preserve">12 hours</w:t>
            </w:r>
          </w:p>
        </w:tc>
        <w:tc>
          <w:tcPr/>
          <w:p>
            <w:pPr>
              <w:pStyle w:val="Compact"/>
            </w:pPr>
            <w:r>
              <w:t xml:space="preserve">70–115% (preferably 90–115%)</w:t>
            </w:r>
          </w:p>
        </w:tc>
      </w:tr>
    </w:tbl>
    <w:p>
      <w:pPr>
        <w:pStyle w:val="BodyText"/>
      </w:pPr>
      <w:r>
        <w:rPr>
          <w:b/>
          <w:bCs/>
        </w:rPr>
        <w:t xml:space="preserve">Neutral medium (pH 5.5 to 8.0):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Disclosed cumulative % release range</w:t>
            </w:r>
          </w:p>
        </w:tc>
      </w:tr>
      <w:tr>
        <w:tc>
          <w:tcPr/>
          <w:p>
            <w:pPr>
              <w:pStyle w:val="Compact"/>
            </w:pPr>
            <w:r>
              <w:t xml:space="preserve">5 min</w:t>
            </w:r>
          </w:p>
        </w:tc>
        <w:tc>
          <w:tcPr/>
          <w:p>
            <w:pPr>
              <w:pStyle w:val="Compact"/>
            </w:pPr>
            <w:r>
              <w:t xml:space="preserve">0–10% (preferably 0–5%, more preferably 0%)</w:t>
            </w:r>
          </w:p>
        </w:tc>
      </w:tr>
      <w:tr>
        <w:tc>
          <w:tcPr/>
          <w:p>
            <w:pPr>
              <w:pStyle w:val="Compact"/>
            </w:pPr>
            <w:r>
              <w:t xml:space="preserve">15 min</w:t>
            </w:r>
          </w:p>
        </w:tc>
        <w:tc>
          <w:tcPr/>
          <w:p>
            <w:pPr>
              <w:pStyle w:val="Compact"/>
            </w:pPr>
            <w:r>
              <w:t xml:space="preserve">0–10% (preferably 0–2%)</w:t>
            </w:r>
          </w:p>
        </w:tc>
      </w:tr>
      <w:tr>
        <w:tc>
          <w:tcPr/>
          <w:p>
            <w:pPr>
              <w:pStyle w:val="Compact"/>
            </w:pPr>
            <w:r>
              <w:t xml:space="preserve">30 min</w:t>
            </w:r>
          </w:p>
        </w:tc>
        <w:tc>
          <w:tcPr/>
          <w:p>
            <w:pPr>
              <w:pStyle w:val="Compact"/>
            </w:pPr>
            <w:r>
              <w:t xml:space="preserve">0–10% (preferably 0–2%)</w:t>
            </w:r>
          </w:p>
        </w:tc>
      </w:tr>
      <w:tr>
        <w:tc>
          <w:tcPr/>
          <w:p>
            <w:pPr>
              <w:pStyle w:val="Compact"/>
            </w:pPr>
            <w:r>
              <w:t xml:space="preserve">1 hour</w:t>
            </w:r>
          </w:p>
        </w:tc>
        <w:tc>
          <w:tcPr/>
          <w:p>
            <w:pPr>
              <w:pStyle w:val="Compact"/>
            </w:pPr>
            <w:r>
              <w:t xml:space="preserve">0–15% (preferably 0–5%, more preferably 0–1%)</w:t>
            </w:r>
          </w:p>
        </w:tc>
      </w:tr>
      <w:tr>
        <w:tc>
          <w:tcPr/>
          <w:p>
            <w:pPr>
              <w:pStyle w:val="Compact"/>
            </w:pPr>
            <w:r>
              <w:t xml:space="preserve">2 hours</w:t>
            </w:r>
          </w:p>
        </w:tc>
        <w:tc>
          <w:tcPr/>
          <w:p>
            <w:pPr>
              <w:pStyle w:val="Compact"/>
            </w:pPr>
            <w:r>
              <w:t xml:space="preserve">0–25% (preferably 0–10%, more preferably 0–2%)</w:t>
            </w:r>
          </w:p>
        </w:tc>
      </w:tr>
      <w:tr>
        <w:tc>
          <w:tcPr/>
          <w:p>
            <w:pPr>
              <w:pStyle w:val="Compact"/>
            </w:pPr>
            <w:r>
              <w:t xml:space="preserve">4 hours</w:t>
            </w:r>
          </w:p>
        </w:tc>
        <w:tc>
          <w:tcPr/>
          <w:p>
            <w:pPr>
              <w:pStyle w:val="Compact"/>
            </w:pPr>
            <w:r>
              <w:t xml:space="preserve">0–40% (preferably 1–25%, also 3–15%, also 5–10%)</w:t>
            </w:r>
          </w:p>
        </w:tc>
      </w:tr>
      <w:tr>
        <w:tc>
          <w:tcPr/>
          <w:p>
            <w:pPr>
              <w:pStyle w:val="Compact"/>
            </w:pPr>
            <w:r>
              <w:t xml:space="preserve">6 hours</w:t>
            </w:r>
          </w:p>
        </w:tc>
        <w:tc>
          <w:tcPr/>
          <w:p>
            <w:pPr>
              <w:pStyle w:val="Compact"/>
            </w:pPr>
            <w:r>
              <w:t xml:space="preserve">5–60% (preferably 10–40%, also 15–25%)</w:t>
            </w:r>
          </w:p>
        </w:tc>
      </w:tr>
      <w:tr>
        <w:tc>
          <w:tcPr/>
          <w:p>
            <w:pPr>
              <w:pStyle w:val="Compact"/>
            </w:pPr>
            <w:r>
              <w:t xml:space="preserve">8 hours</w:t>
            </w:r>
          </w:p>
        </w:tc>
        <w:tc>
          <w:tcPr/>
          <w:p>
            <w:pPr>
              <w:pStyle w:val="Compact"/>
            </w:pPr>
            <w:r>
              <w:t xml:space="preserve">10–75% (preferably 20–50%, also 25–35%)</w:t>
            </w:r>
          </w:p>
        </w:tc>
      </w:tr>
      <w:tr>
        <w:tc>
          <w:tcPr/>
          <w:p>
            <w:pPr>
              <w:pStyle w:val="Compact"/>
            </w:pPr>
            <w:r>
              <w:t xml:space="preserve">12 hours</w:t>
            </w:r>
          </w:p>
        </w:tc>
        <w:tc>
          <w:tcPr/>
          <w:p>
            <w:pPr>
              <w:pStyle w:val="Compact"/>
            </w:pPr>
            <w:r>
              <w:t xml:space="preserve">30–110% (preferably 50–90%, also 60–80%, also 65–80%)</w:t>
            </w:r>
          </w:p>
        </w:tc>
      </w:tr>
      <w:tr>
        <w:tc>
          <w:tcPr/>
          <w:p>
            <w:pPr>
              <w:pStyle w:val="Compact"/>
            </w:pPr>
            <w:r>
              <w:t xml:space="preserve">16 hours</w:t>
            </w:r>
          </w:p>
        </w:tc>
        <w:tc>
          <w:tcPr/>
          <w:p>
            <w:pPr>
              <w:pStyle w:val="Compact"/>
            </w:pPr>
            <w:r>
              <w:t xml:space="preserve">50–115% (preferably 70–105%)</w:t>
            </w:r>
          </w:p>
        </w:tc>
      </w:tr>
      <w:tr>
        <w:tc>
          <w:tcPr/>
          <w:p>
            <w:pPr>
              <w:pStyle w:val="Compact"/>
            </w:pPr>
            <w:r>
              <w:t xml:space="preserve">24 hours</w:t>
            </w:r>
          </w:p>
        </w:tc>
        <w:tc>
          <w:tcPr/>
          <w:p>
            <w:pPr>
              <w:pStyle w:val="Compact"/>
            </w:pPr>
            <w:r>
              <w:t xml:space="preserve">70–115% (preferably 85–115%)</w:t>
            </w:r>
          </w:p>
        </w:tc>
      </w:tr>
    </w:tbl>
    <w:p>
      <w:pPr>
        <w:pStyle w:val="BodyText"/>
      </w:pPr>
      <w:r>
        <w:t xml:space="preserve">Each value within each range, in 1% and 0.1% increments, is expressly disclosed.</w:t>
      </w:r>
    </w:p>
    <w:bookmarkEnd w:id="23"/>
    <w:bookmarkStart w:id="24" w:name="Xeaed01f31a78cfed35de72d0a61d6c359959d5f"/>
    <w:p>
      <w:pPr>
        <w:pStyle w:val="Heading3"/>
      </w:pPr>
      <w:r>
        <w:t xml:space="preserve">4.4 pH-dependence regardless of underlying mechanism</w:t>
      </w:r>
    </w:p>
    <w:p>
      <w:pPr>
        <w:pStyle w:val="FirstParagraph"/>
      </w:pPr>
      <w:r>
        <w:t xml:space="preserve">The pH-dependent release behavior described in §§4.1–4.3 is expressly disclosed as a property of the composition,</w:t>
      </w:r>
      <w:r>
        <w:t xml:space="preserve"> </w:t>
      </w:r>
      <w:r>
        <w:rPr>
          <w:b/>
          <w:bCs/>
        </w:rPr>
        <w:t xml:space="preserve">independent of the molecular or physicochemical mechanism</w:t>
      </w:r>
      <w:r>
        <w:t xml:space="preserve"> </w:t>
      </w:r>
      <w:r>
        <w:t xml:space="preserve">producing such behavior. Mechanisms expressly disclosed as alternative or co-existing causes of pH-dependent release in glyceryl behenate-containing compositions include, without limitation:</w:t>
      </w:r>
    </w:p>
    <w:p>
      <w:pPr>
        <w:numPr>
          <w:ilvl w:val="0"/>
          <w:numId w:val="1004"/>
        </w:numPr>
      </w:pPr>
      <w:r>
        <w:t xml:space="preserve">Inherent or emergent pH-dependence of glyceryl behenate matrices arising from interaction of the lipid surface with hydronium and hydroxide ions, lipase activity, bile salt content, or solubilization behavior in different media;</w:t>
      </w:r>
    </w:p>
    <w:p>
      <w:pPr>
        <w:numPr>
          <w:ilvl w:val="0"/>
          <w:numId w:val="1004"/>
        </w:numPr>
      </w:pPr>
      <w:r>
        <w:t xml:space="preserve">pH-dependent solubility of the API itself (e.g., a weak base such as minoxidil, pKa ≈ 4.6, has higher aqueous solubility at acidic pH than at neutral pH), interacting with a lipid matrix to produce differential apparent dissolution rates;</w:t>
      </w:r>
    </w:p>
    <w:p>
      <w:pPr>
        <w:numPr>
          <w:ilvl w:val="0"/>
          <w:numId w:val="1004"/>
        </w:numPr>
      </w:pPr>
      <w:r>
        <w:t xml:space="preserve">pH-dependent ionization of an acidic, basic, or amphoteric co-excipient included in the matrix;</w:t>
      </w:r>
    </w:p>
    <w:p>
      <w:pPr>
        <w:numPr>
          <w:ilvl w:val="0"/>
          <w:numId w:val="1004"/>
        </w:numPr>
      </w:pPr>
      <w:r>
        <w:t xml:space="preserve">Presence of a functional coating (per §3.5) that is enteric, gastric-protective, pH-responsive, or pH-soluble;</w:t>
      </w:r>
    </w:p>
    <w:p>
      <w:pPr>
        <w:numPr>
          <w:ilvl w:val="0"/>
          <w:numId w:val="1004"/>
        </w:numPr>
      </w:pPr>
      <w:r>
        <w:t xml:space="preserve">Inclusion in the matrix of a pH-sensitive polymer (Eudragit L, S, FS; HPMC-AS; HPMC-P; CAP; PVAP; shellac; zein) at any concentration from 0.5% to 50% w/w;</w:t>
      </w:r>
    </w:p>
    <w:p>
      <w:pPr>
        <w:numPr>
          <w:ilvl w:val="0"/>
          <w:numId w:val="1004"/>
        </w:numPr>
      </w:pPr>
      <w:r>
        <w:t xml:space="preserve">Inclusion of a buffering agent or pH-modifying salt within the matrix that alters the local microenvironment;</w:t>
      </w:r>
    </w:p>
    <w:p>
      <w:pPr>
        <w:numPr>
          <w:ilvl w:val="0"/>
          <w:numId w:val="1004"/>
        </w:numPr>
      </w:pPr>
      <w:r>
        <w:t xml:space="preserve">Differential erosion kinetics of the lipid matrix in different media due to differences in hydration, surface tension, or surfactant content of the medium;</w:t>
      </w:r>
    </w:p>
    <w:p>
      <w:pPr>
        <w:numPr>
          <w:ilvl w:val="0"/>
          <w:numId w:val="1004"/>
        </w:numPr>
      </w:pPr>
      <w:r>
        <w:t xml:space="preserve">pH-dependent micellization, lipase-mediated hydrolysis, or supersaturation behavior of the lipid components in different media;</w:t>
      </w:r>
    </w:p>
    <w:p>
      <w:pPr>
        <w:numPr>
          <w:ilvl w:val="0"/>
          <w:numId w:val="1004"/>
        </w:numPr>
      </w:pPr>
      <w:r>
        <w:t xml:space="preserve">Differential interaction between the API and lipid phase as a function of medium pH, including ion-pair formation and reverse-micelle behavior;</w:t>
      </w:r>
    </w:p>
    <w:p>
      <w:pPr>
        <w:numPr>
          <w:ilvl w:val="0"/>
          <w:numId w:val="1004"/>
        </w:numPr>
      </w:pPr>
      <w:r>
        <w:t xml:space="preserve">Combinations of any two or more of (a)–(i).</w:t>
      </w:r>
    </w:p>
    <w:p>
      <w:pPr>
        <w:pStyle w:val="FirstParagraph"/>
      </w:pPr>
      <w:r>
        <w:t xml:space="preserve">A composition exhibiting pH-dependent extended release is disclosed and falls within this disclosure regardless of which of mechanisms (a)–(j) (or any other, known or unknown) is responsible for the observed pH-dependence.</w:t>
      </w:r>
    </w:p>
    <w:p>
      <w:r>
        <w:pict>
          <v:rect style="width:0;height:1.5pt" o:hralign="center" o:hrstd="t" o:hr="t"/>
        </w:pict>
      </w:r>
    </w:p>
    <w:bookmarkEnd w:id="24"/>
    <w:bookmarkEnd w:id="25"/>
    <w:bookmarkStart w:id="31" w:name="worked-dissolution-examples"/>
    <w:p>
      <w:pPr>
        <w:pStyle w:val="Heading2"/>
      </w:pPr>
      <w:r>
        <w:t xml:space="preserve">5. WORKED DISSOLUTION EXAMPLES</w:t>
      </w:r>
    </w:p>
    <w:p>
      <w:pPr>
        <w:pStyle w:val="FirstParagraph"/>
      </w:pPr>
      <w:r>
        <w:t xml:space="preserve">The following dissolution profiles are publicly disclosed as embodiments of pH-dependent extended release from glyceryl behenate-containing matrix dosage forms. Each profile is independently disclosed as prior art. Compositions producing each profile, and compositions producing any profile within ±20% of each value (or within any of the ranges in §4.3), are expressly disclosed.</w:t>
      </w:r>
    </w:p>
    <w:bookmarkStart w:id="26" w:name="X896aa1407126a818aefb7d58b801c120b2ccb16"/>
    <w:p>
      <w:pPr>
        <w:pStyle w:val="Heading3"/>
      </w:pPr>
      <w:r>
        <w:t xml:space="preserve">5.1 Worked Example α — Glyceryl behenate matrix capsule</w:t>
      </w:r>
    </w:p>
    <w:p>
      <w:pPr>
        <w:pStyle w:val="FirstParagraph"/>
      </w:pPr>
      <w:r>
        <w:t xml:space="preserve">A capsule dosage form containing 5 mg minoxidil and a glyceryl behenate-containing lipid matrix (composition within the genus of §3) tested under USP Apparatus 2, 50 rpm, 900 mL, 37.0 ± 0.5 °C, 230 nm UV detection.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pH 1.2 % release</w:t>
            </w:r>
          </w:p>
        </w:tc>
        <w:tc>
          <w:tcPr/>
          <w:p>
            <w:pPr>
              <w:pStyle w:val="Compact"/>
            </w:pPr>
            <w:r>
              <w:t xml:space="preserve">pH 6.8 % release</w:t>
            </w:r>
          </w:p>
        </w:tc>
        <w:tc>
          <w:tcPr/>
          <w:p>
            <w:pPr>
              <w:pStyle w:val="Compact"/>
            </w:pPr>
            <w:r>
              <w:t xml:space="preserve">Ratio (1.2 / 6.8)</w:t>
            </w:r>
          </w:p>
        </w:tc>
      </w:tr>
      <w:tr>
        <w:tc>
          <w:tcPr/>
          <w:p>
            <w:pPr>
              <w:pStyle w:val="Compact"/>
            </w:pPr>
            <w:r>
              <w:t xml:space="preserve">5 min</w:t>
            </w:r>
          </w:p>
        </w:tc>
        <w:tc>
          <w:tcPr/>
          <w:p>
            <w:pPr>
              <w:pStyle w:val="Compact"/>
            </w:pPr>
            <w:r>
              <w:t xml:space="preserve">2–4%</w:t>
            </w:r>
          </w:p>
        </w:tc>
        <w:tc>
          <w:tcPr/>
          <w:p>
            <w:pPr>
              <w:pStyle w:val="Compact"/>
            </w:pPr>
            <w:r>
              <w:t xml:space="preserve">0%</w:t>
            </w:r>
          </w:p>
        </w:tc>
        <w:tc>
          <w:tcPr/>
          <w:p>
            <w:pPr>
              <w:pStyle w:val="Compact"/>
            </w:pPr>
            <w:r>
              <w:t xml:space="preserve">(n/a, near-zero)</w:t>
            </w:r>
          </w:p>
        </w:tc>
      </w:tr>
      <w:tr>
        <w:tc>
          <w:tcPr/>
          <w:p>
            <w:pPr>
              <w:pStyle w:val="Compact"/>
            </w:pPr>
            <w:r>
              <w:t xml:space="preserve">10 min</w:t>
            </w:r>
          </w:p>
        </w:tc>
        <w:tc>
          <w:tcPr/>
          <w:p>
            <w:pPr>
              <w:pStyle w:val="Compact"/>
            </w:pPr>
            <w:r>
              <w:t xml:space="preserve">2–4%</w:t>
            </w:r>
          </w:p>
        </w:tc>
        <w:tc>
          <w:tcPr/>
          <w:p>
            <w:pPr>
              <w:pStyle w:val="Compact"/>
            </w:pPr>
            <w:r>
              <w:t xml:space="preserve">0%</w:t>
            </w:r>
          </w:p>
        </w:tc>
        <w:tc>
          <w:tcPr/>
          <w:p>
            <w:pPr>
              <w:pStyle w:val="Compact"/>
            </w:pPr>
            <w:r>
              <w:t xml:space="preserve">(n/a, near-zero)</w:t>
            </w:r>
          </w:p>
        </w:tc>
      </w:tr>
      <w:tr>
        <w:tc>
          <w:tcPr/>
          <w:p>
            <w:pPr>
              <w:pStyle w:val="Compact"/>
            </w:pPr>
            <w:r>
              <w:t xml:space="preserve">15 min</w:t>
            </w:r>
          </w:p>
        </w:tc>
        <w:tc>
          <w:tcPr/>
          <w:p>
            <w:pPr>
              <w:pStyle w:val="Compact"/>
            </w:pPr>
            <w:r>
              <w:t xml:space="preserve">3–5%</w:t>
            </w:r>
          </w:p>
        </w:tc>
        <w:tc>
          <w:tcPr/>
          <w:p>
            <w:pPr>
              <w:pStyle w:val="Compact"/>
            </w:pPr>
            <w:r>
              <w:t xml:space="preserve">0%</w:t>
            </w:r>
          </w:p>
        </w:tc>
        <w:tc>
          <w:tcPr/>
          <w:p>
            <w:pPr>
              <w:pStyle w:val="Compact"/>
            </w:pPr>
            <w:r>
              <w:t xml:space="preserve">(n/a, near-zero)</w:t>
            </w:r>
          </w:p>
        </w:tc>
      </w:tr>
      <w:tr>
        <w:tc>
          <w:tcPr/>
          <w:p>
            <w:pPr>
              <w:pStyle w:val="Compact"/>
            </w:pPr>
            <w:r>
              <w:t xml:space="preserve">30 min</w:t>
            </w:r>
          </w:p>
        </w:tc>
        <w:tc>
          <w:tcPr/>
          <w:p>
            <w:pPr>
              <w:pStyle w:val="Compact"/>
            </w:pPr>
            <w:r>
              <w:t xml:space="preserve">5–9%</w:t>
            </w:r>
          </w:p>
        </w:tc>
        <w:tc>
          <w:tcPr/>
          <w:p>
            <w:pPr>
              <w:pStyle w:val="Compact"/>
            </w:pPr>
            <w:r>
              <w:t xml:space="preserve">0%</w:t>
            </w:r>
          </w:p>
        </w:tc>
        <w:tc>
          <w:tcPr/>
          <w:p>
            <w:pPr>
              <w:pStyle w:val="Compact"/>
            </w:pPr>
            <w:r>
              <w:t xml:space="preserve">(n/a, near-zero)</w:t>
            </w:r>
          </w:p>
        </w:tc>
      </w:tr>
      <w:tr>
        <w:tc>
          <w:tcPr/>
          <w:p>
            <w:pPr>
              <w:pStyle w:val="Compact"/>
            </w:pPr>
            <w:r>
              <w:t xml:space="preserve">45 min</w:t>
            </w:r>
          </w:p>
        </w:tc>
        <w:tc>
          <w:tcPr/>
          <w:p>
            <w:pPr>
              <w:pStyle w:val="Compact"/>
            </w:pPr>
            <w:r>
              <w:t xml:space="preserve">7–14%</w:t>
            </w:r>
          </w:p>
        </w:tc>
        <w:tc>
          <w:tcPr/>
          <w:p>
            <w:pPr>
              <w:pStyle w:val="Compact"/>
            </w:pPr>
            <w:r>
              <w:t xml:space="preserve">0%</w:t>
            </w:r>
          </w:p>
        </w:tc>
        <w:tc>
          <w:tcPr/>
          <w:p>
            <w:pPr>
              <w:pStyle w:val="Compact"/>
            </w:pPr>
            <w:r>
              <w:t xml:space="preserve">(n/a, near-zero)</w:t>
            </w:r>
          </w:p>
        </w:tc>
      </w:tr>
      <w:tr>
        <w:tc>
          <w:tcPr/>
          <w:p>
            <w:pPr>
              <w:pStyle w:val="Compact"/>
            </w:pPr>
            <w:r>
              <w:t xml:space="preserve">1 hour</w:t>
            </w:r>
          </w:p>
        </w:tc>
        <w:tc>
          <w:tcPr/>
          <w:p>
            <w:pPr>
              <w:pStyle w:val="Compact"/>
            </w:pPr>
            <w:r>
              <w:t xml:space="preserve">11–21%</w:t>
            </w:r>
          </w:p>
        </w:tc>
        <w:tc>
          <w:tcPr/>
          <w:p>
            <w:pPr>
              <w:pStyle w:val="Compact"/>
            </w:pPr>
            <w:r>
              <w:t xml:space="preserve">0%</w:t>
            </w:r>
          </w:p>
        </w:tc>
        <w:tc>
          <w:tcPr/>
          <w:p>
            <w:pPr>
              <w:pStyle w:val="Compact"/>
            </w:pPr>
            <w:r>
              <w:t xml:space="preserve">(n/a, near-zero)</w:t>
            </w:r>
          </w:p>
        </w:tc>
      </w:tr>
      <w:tr>
        <w:tc>
          <w:tcPr/>
          <w:p>
            <w:pPr>
              <w:pStyle w:val="Compact"/>
            </w:pPr>
            <w:r>
              <w:t xml:space="preserve">2 hours</w:t>
            </w:r>
          </w:p>
        </w:tc>
        <w:tc>
          <w:tcPr/>
          <w:p>
            <w:pPr>
              <w:pStyle w:val="Compact"/>
            </w:pPr>
            <w:r>
              <w:t xml:space="preserve">27–45%</w:t>
            </w:r>
          </w:p>
        </w:tc>
        <w:tc>
          <w:tcPr/>
          <w:p>
            <w:pPr>
              <w:pStyle w:val="Compact"/>
            </w:pPr>
            <w:r>
              <w:t xml:space="preserve">0–1%</w:t>
            </w:r>
          </w:p>
        </w:tc>
        <w:tc>
          <w:tcPr/>
          <w:p>
            <w:pPr>
              <w:pStyle w:val="Compact"/>
            </w:pPr>
            <w:r>
              <w:t xml:space="preserve">≥ 27</w:t>
            </w:r>
          </w:p>
        </w:tc>
      </w:tr>
      <w:tr>
        <w:tc>
          <w:tcPr/>
          <w:p>
            <w:pPr>
              <w:pStyle w:val="Compact"/>
            </w:pPr>
            <w:r>
              <w:t xml:space="preserve">4 hours</w:t>
            </w:r>
          </w:p>
        </w:tc>
        <w:tc>
          <w:tcPr/>
          <w:p>
            <w:pPr>
              <w:pStyle w:val="Compact"/>
            </w:pPr>
            <w:r>
              <w:t xml:space="preserve">54–81%</w:t>
            </w:r>
          </w:p>
        </w:tc>
        <w:tc>
          <w:tcPr/>
          <w:p>
            <w:pPr>
              <w:pStyle w:val="Compact"/>
            </w:pPr>
            <w:r>
              <w:t xml:space="preserve">6–8%</w:t>
            </w:r>
          </w:p>
        </w:tc>
        <w:tc>
          <w:tcPr/>
          <w:p>
            <w:pPr>
              <w:pStyle w:val="Compact"/>
            </w:pPr>
            <w:r>
              <w:t xml:space="preserve">~ 8–10</w:t>
            </w:r>
          </w:p>
        </w:tc>
      </w:tr>
      <w:tr>
        <w:tc>
          <w:tcPr/>
          <w:p>
            <w:pPr>
              <w:pStyle w:val="Compact"/>
            </w:pPr>
            <w:r>
              <w:t xml:space="preserve">6 hours</w:t>
            </w:r>
          </w:p>
        </w:tc>
        <w:tc>
          <w:tcPr/>
          <w:p>
            <w:pPr>
              <w:pStyle w:val="Compact"/>
            </w:pPr>
            <w:r>
              <w:t xml:space="preserve">82–95%</w:t>
            </w:r>
          </w:p>
        </w:tc>
        <w:tc>
          <w:tcPr/>
          <w:p>
            <w:pPr>
              <w:pStyle w:val="Compact"/>
            </w:pPr>
            <w:r>
              <w:t xml:space="preserve">16–21%</w:t>
            </w:r>
          </w:p>
        </w:tc>
        <w:tc>
          <w:tcPr/>
          <w:p>
            <w:pPr>
              <w:pStyle w:val="Compact"/>
            </w:pPr>
            <w:r>
              <w:t xml:space="preserve">~ 4–6</w:t>
            </w:r>
          </w:p>
        </w:tc>
      </w:tr>
      <w:tr>
        <w:tc>
          <w:tcPr/>
          <w:p>
            <w:pPr>
              <w:pStyle w:val="Compact"/>
            </w:pPr>
            <w:r>
              <w:t xml:space="preserve">8 hours</w:t>
            </w:r>
          </w:p>
        </w:tc>
        <w:tc>
          <w:tcPr/>
          <w:p>
            <w:pPr>
              <w:pStyle w:val="Compact"/>
            </w:pPr>
            <w:r>
              <w:t xml:space="preserve">95–106%</w:t>
            </w:r>
          </w:p>
        </w:tc>
        <w:tc>
          <w:tcPr/>
          <w:p>
            <w:pPr>
              <w:pStyle w:val="Compact"/>
            </w:pPr>
            <w:r>
              <w:t xml:space="preserve">25–32%</w:t>
            </w:r>
          </w:p>
        </w:tc>
        <w:tc>
          <w:tcPr/>
          <w:p>
            <w:pPr>
              <w:pStyle w:val="Compact"/>
            </w:pPr>
            <w:r>
              <w:t xml:space="preserve">~ 3</w:t>
            </w:r>
          </w:p>
        </w:tc>
      </w:tr>
      <w:tr>
        <w:tc>
          <w:tcPr/>
          <w:p>
            <w:pPr>
              <w:pStyle w:val="Compact"/>
            </w:pPr>
            <w:r>
              <w:t xml:space="preserve">12 hours</w:t>
            </w:r>
          </w:p>
        </w:tc>
        <w:tc>
          <w:tcPr/>
          <w:p>
            <w:pPr>
              <w:pStyle w:val="Compact"/>
            </w:pPr>
            <w:r>
              <w:t xml:space="preserve">93–108%</w:t>
            </w:r>
          </w:p>
        </w:tc>
        <w:tc>
          <w:tcPr/>
          <w:p>
            <w:pPr>
              <w:pStyle w:val="Compact"/>
            </w:pPr>
            <w:r>
              <w:t xml:space="preserve">64–80%</w:t>
            </w:r>
          </w:p>
        </w:tc>
        <w:tc>
          <w:tcPr/>
          <w:p>
            <w:pPr>
              <w:pStyle w:val="Compact"/>
            </w:pPr>
            <w:r>
              <w:t xml:space="preserve">~ 1.2–1.5</w:t>
            </w:r>
          </w:p>
        </w:tc>
      </w:tr>
    </w:tbl>
    <w:bookmarkEnd w:id="26"/>
    <w:bookmarkStart w:id="27" w:name="worked-example-β-broader-profile-range"/>
    <w:p>
      <w:pPr>
        <w:pStyle w:val="Heading3"/>
      </w:pPr>
      <w:r>
        <w:t xml:space="preserve">5.2 Worked Example β — Broader profile range</w:t>
      </w:r>
    </w:p>
    <w:p>
      <w:pPr>
        <w:pStyle w:val="FirstParagraph"/>
      </w:pPr>
      <w:r>
        <w:t xml:space="preserve">Any glyceryl behenate-containing composition producing a profile within the following ranges is expressly disclosed: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pH 1.2 disclosed range</w:t>
            </w:r>
          </w:p>
        </w:tc>
        <w:tc>
          <w:tcPr/>
          <w:p>
            <w:pPr>
              <w:pStyle w:val="Compact"/>
            </w:pPr>
            <w:r>
              <w:t xml:space="preserve">pH 6.8 disclosed range</w:t>
            </w:r>
          </w:p>
        </w:tc>
      </w:tr>
      <w:tr>
        <w:tc>
          <w:tcPr/>
          <w:p>
            <w:pPr>
              <w:pStyle w:val="Compact"/>
            </w:pPr>
            <w:r>
              <w:t xml:space="preserve">1 hour</w:t>
            </w:r>
          </w:p>
        </w:tc>
        <w:tc>
          <w:tcPr/>
          <w:p>
            <w:pPr>
              <w:pStyle w:val="Compact"/>
            </w:pPr>
            <w:r>
              <w:t xml:space="preserve">1–40%</w:t>
            </w:r>
          </w:p>
        </w:tc>
        <w:tc>
          <w:tcPr/>
          <w:p>
            <w:pPr>
              <w:pStyle w:val="Compact"/>
            </w:pPr>
            <w:r>
              <w:t xml:space="preserve">0–5%</w:t>
            </w:r>
          </w:p>
        </w:tc>
      </w:tr>
      <w:tr>
        <w:tc>
          <w:tcPr/>
          <w:p>
            <w:pPr>
              <w:pStyle w:val="Compact"/>
            </w:pPr>
            <w:r>
              <w:t xml:space="preserve">2 hours</w:t>
            </w:r>
          </w:p>
        </w:tc>
        <w:tc>
          <w:tcPr/>
          <w:p>
            <w:pPr>
              <w:pStyle w:val="Compact"/>
            </w:pPr>
            <w:r>
              <w:t xml:space="preserve">10–60%</w:t>
            </w:r>
          </w:p>
        </w:tc>
        <w:tc>
          <w:tcPr/>
          <w:p>
            <w:pPr>
              <w:pStyle w:val="Compact"/>
            </w:pPr>
            <w:r>
              <w:t xml:space="preserve">0–10%</w:t>
            </w:r>
          </w:p>
        </w:tc>
      </w:tr>
      <w:tr>
        <w:tc>
          <w:tcPr/>
          <w:p>
            <w:pPr>
              <w:pStyle w:val="Compact"/>
            </w:pPr>
            <w:r>
              <w:t xml:space="preserve">4 hours</w:t>
            </w:r>
          </w:p>
        </w:tc>
        <w:tc>
          <w:tcPr/>
          <w:p>
            <w:pPr>
              <w:pStyle w:val="Compact"/>
            </w:pPr>
            <w:r>
              <w:t xml:space="preserve">30–95%</w:t>
            </w:r>
          </w:p>
        </w:tc>
        <w:tc>
          <w:tcPr/>
          <w:p>
            <w:pPr>
              <w:pStyle w:val="Compact"/>
            </w:pPr>
            <w:r>
              <w:t xml:space="preserve">1–25%</w:t>
            </w:r>
          </w:p>
        </w:tc>
      </w:tr>
      <w:tr>
        <w:tc>
          <w:tcPr/>
          <w:p>
            <w:pPr>
              <w:pStyle w:val="Compact"/>
            </w:pPr>
            <w:r>
              <w:t xml:space="preserve">6 hours</w:t>
            </w:r>
          </w:p>
        </w:tc>
        <w:tc>
          <w:tcPr/>
          <w:p>
            <w:pPr>
              <w:pStyle w:val="Compact"/>
            </w:pPr>
            <w:r>
              <w:t xml:space="preserve">60–100%</w:t>
            </w:r>
          </w:p>
        </w:tc>
        <w:tc>
          <w:tcPr/>
          <w:p>
            <w:pPr>
              <w:pStyle w:val="Compact"/>
            </w:pPr>
            <w:r>
              <w:t xml:space="preserve">5–35%</w:t>
            </w:r>
          </w:p>
        </w:tc>
      </w:tr>
      <w:tr>
        <w:tc>
          <w:tcPr/>
          <w:p>
            <w:pPr>
              <w:pStyle w:val="Compact"/>
            </w:pPr>
            <w:r>
              <w:t xml:space="preserve">8 hours</w:t>
            </w:r>
          </w:p>
        </w:tc>
        <w:tc>
          <w:tcPr/>
          <w:p>
            <w:pPr>
              <w:pStyle w:val="Compact"/>
            </w:pPr>
            <w:r>
              <w:t xml:space="preserve">80–110%</w:t>
            </w:r>
          </w:p>
        </w:tc>
        <w:tc>
          <w:tcPr/>
          <w:p>
            <w:pPr>
              <w:pStyle w:val="Compact"/>
            </w:pPr>
            <w:r>
              <w:t xml:space="preserve">15–50%</w:t>
            </w:r>
          </w:p>
        </w:tc>
      </w:tr>
      <w:tr>
        <w:tc>
          <w:tcPr/>
          <w:p>
            <w:pPr>
              <w:pStyle w:val="Compact"/>
            </w:pPr>
            <w:r>
              <w:t xml:space="preserve">12 hours</w:t>
            </w:r>
          </w:p>
        </w:tc>
        <w:tc>
          <w:tcPr/>
          <w:p>
            <w:pPr>
              <w:pStyle w:val="Compact"/>
            </w:pPr>
            <w:r>
              <w:t xml:space="preserve">85–115%</w:t>
            </w:r>
          </w:p>
        </w:tc>
        <w:tc>
          <w:tcPr/>
          <w:p>
            <w:pPr>
              <w:pStyle w:val="Compact"/>
            </w:pPr>
            <w:r>
              <w:t xml:space="preserve">40–95%</w:t>
            </w:r>
          </w:p>
        </w:tc>
      </w:tr>
    </w:tbl>
    <w:bookmarkEnd w:id="27"/>
    <w:bookmarkStart w:id="28" w:name="worked-example-γ-slower-variant"/>
    <w:p>
      <w:pPr>
        <w:pStyle w:val="Heading3"/>
      </w:pPr>
      <w:r>
        <w:t xml:space="preserve">5.3 Worked Example γ — Slower variant</w:t>
      </w:r>
    </w:p>
    <w:p>
      <w:pPr>
        <w:pStyle w:val="FirstParagraph"/>
      </w:pPr>
      <w:r>
        <w:t xml:space="preserve">A glyceryl behenate-containing composition exhibiting:</w:t>
      </w:r>
      <w:r>
        <w:t xml:space="preserve"> </w:t>
      </w:r>
      <w:r>
        <w:t xml:space="preserve">- pH 1.2: 5% at 1h, 20% at 2h, 50% at 4h, 75% at 6h, 90% at 8h, 100% at 12h</w:t>
      </w:r>
      <w:r>
        <w:t xml:space="preserve"> </w:t>
      </w:r>
      <w:r>
        <w:t xml:space="preserve">- pH 6.8: 0% at 1h, 0% at 2h, 3% at 4h, 10% at 6h, 18% at 8h, 50% at 12h, 75% at 16h, 95% at 24h</w:t>
      </w:r>
    </w:p>
    <w:bookmarkEnd w:id="28"/>
    <w:bookmarkStart w:id="29" w:name="worked-example-δ-faster-variant"/>
    <w:p>
      <w:pPr>
        <w:pStyle w:val="Heading3"/>
      </w:pPr>
      <w:r>
        <w:t xml:space="preserve">5.4 Worked Example δ — Faster variant</w:t>
      </w:r>
    </w:p>
    <w:p>
      <w:pPr>
        <w:pStyle w:val="FirstParagraph"/>
      </w:pPr>
      <w:r>
        <w:t xml:space="preserve">A glyceryl behenate-containing composition exhibiting:</w:t>
      </w:r>
      <w:r>
        <w:t xml:space="preserve"> </w:t>
      </w:r>
      <w:r>
        <w:t xml:space="preserve">- pH 1.2: 25% at 1h, 50% at 2h, 85% at 4h, 100% at 6h</w:t>
      </w:r>
      <w:r>
        <w:t xml:space="preserve"> </w:t>
      </w:r>
      <w:r>
        <w:t xml:space="preserve">- pH 6.8: 5% at 1h, 12% at 2h, 30% at 4h, 50% at 6h, 70% at 8h, 95% at 12h</w:t>
      </w:r>
    </w:p>
    <w:bookmarkEnd w:id="29"/>
    <w:bookmarkStart w:id="30" w:name="worked-example-ε-plateau-variant"/>
    <w:p>
      <w:pPr>
        <w:pStyle w:val="Heading3"/>
      </w:pPr>
      <w:r>
        <w:t xml:space="preserve">5.5 Worked Example ε — Plateau variant</w:t>
      </w:r>
    </w:p>
    <w:p>
      <w:pPr>
        <w:pStyle w:val="FirstParagraph"/>
      </w:pPr>
      <w:r>
        <w:t xml:space="preserve">A glyceryl behenate-containing composition exhibiting:</w:t>
      </w:r>
      <w:r>
        <w:t xml:space="preserve"> </w:t>
      </w:r>
      <w:r>
        <w:t xml:space="preserve">- pH 1.2: rapid release reaching ≥ 80% by 6 hours and plateauing</w:t>
      </w:r>
      <w:r>
        <w:t xml:space="preserve"> </w:t>
      </w:r>
      <w:r>
        <w:t xml:space="preserve">- pH 6.8: incomplete release ≤ 80% even at 12 hours, with ratio (1.2/6.8) ≥ 1.2 at every time point from 1 hour through 12 hours</w:t>
      </w:r>
    </w:p>
    <w:p>
      <w:pPr>
        <w:pStyle w:val="BodyText"/>
      </w:pPr>
      <w:r>
        <w:t xml:space="preserve">Each of Examples α, β, γ, δ, ε is independently disclosed. Any composition producing any profile substantially similar to any of the above (within ±20% at each timepoint, or within ranges defined in §4.3) is expressly disclosed.</w:t>
      </w:r>
    </w:p>
    <w:p>
      <w:r>
        <w:pict>
          <v:rect style="width:0;height:1.5pt" o:hralign="center" o:hrstd="t" o:hr="t"/>
        </w:pict>
      </w:r>
    </w:p>
    <w:bookmarkEnd w:id="30"/>
    <w:bookmarkEnd w:id="31"/>
    <w:bookmarkStart w:id="36" w:name="active-pharmaceutical-ingredient-genus"/>
    <w:p>
      <w:pPr>
        <w:pStyle w:val="Heading2"/>
      </w:pPr>
      <w:r>
        <w:t xml:space="preserve">6. ACTIVE PHARMACEUTICAL INGREDIENT GENUS</w:t>
      </w:r>
    </w:p>
    <w:p>
      <w:pPr>
        <w:pStyle w:val="FirstParagraph"/>
      </w:pPr>
      <w:r>
        <w:t xml:space="preserve">Glyceryl behenate-containing matrix compositions exhibiting pH-dependent extended release as described herein are expressly disclosed for use with any one or more of the following APIs at any unit dose from</w:t>
      </w:r>
      <w:r>
        <w:t xml:space="preserve"> </w:t>
      </w:r>
      <w:r>
        <w:rPr>
          <w:b/>
          <w:bCs/>
        </w:rPr>
        <w:t xml:space="preserve">0.01 mg to 5000 mg per dosage form</w:t>
      </w:r>
      <w:r>
        <w:t xml:space="preserve">, with all intermediate doses (each integer mg, each 0.1 mg increment, and each 0.05 mg increment) expressly disclosed:</w:t>
      </w:r>
    </w:p>
    <w:bookmarkStart w:id="32" w:name="X8dca49a54309503562a8c67898e234c4b3414ac"/>
    <w:p>
      <w:pPr>
        <w:pStyle w:val="Heading3"/>
      </w:pPr>
      <w:r>
        <w:t xml:space="preserve">6.1 Hair-loss and dermatological APIs (preferred)</w:t>
      </w:r>
    </w:p>
    <w:p>
      <w:pPr>
        <w:pStyle w:val="FirstParagraph"/>
      </w:pPr>
      <w:r>
        <w:t xml:space="preserve">Minoxidil (free base and any pharmaceutically acceptable salt — sulfate, hydrochloride, citrate, fumarate, succinate, tartrate, mesylate, tosylate, malate, maleate, oxalate, phosphate; minoxidil sulfate; any active metabolite or prodrug); finasteride; dutasteride; epristeride; alfatradiol; bicalutamide; flutamide; spironolactone; cyproterone acetate; clascoterone; RU58841 (PSK-3841); pyrilutamide (KX-826); CB-03-01; bimatoprost; latanoprost; travoprost; tafluprost; unoprostone; ketoconazole; piroctone olamine; zinc pyrithione; selenium sulfide; ciclopirox; clobetasol propionate; betamethasone valerate; hydrocortisone; triamcinolone acetonide; tacrolimus; pimecrolimus; methotrexate; cyclosporine A; tofacitinib; ruxolitinib; baricitinib; ritlecitinib; abrocitinib; deuruxolitinib; upadacitinib; brepocitinib; ifidancitinib; SM04554; valproic acid and salts; cetirizine; melatonin; caffeine; adenosine; setipiprant; statins for follicular use; rapamycin (sirolimus); everolimus; metformin; pioglitazone; quercetin; fisetin; resveratrol; curcumin; EGCG; ergothioneine.</w:t>
      </w:r>
    </w:p>
    <w:bookmarkEnd w:id="32"/>
    <w:bookmarkStart w:id="33" w:name="Xeb779d12de4e54c745b65447648a86dc69bc581"/>
    <w:p>
      <w:pPr>
        <w:pStyle w:val="Heading3"/>
      </w:pPr>
      <w:r>
        <w:t xml:space="preserve">6.2 Specifically preferred: weak-base APIs amenable to pH-dependent release</w:t>
      </w:r>
    </w:p>
    <w:p>
      <w:pPr>
        <w:pStyle w:val="FirstParagraph"/>
      </w:pPr>
      <w:r>
        <w:t xml:space="preserve">APIs with pKa between about 3 and about 9, particularly weak bases for which aqueous solubility is higher in acidic media than in neutral media, are particularly suited to exhibit and benefit from the disclosed pH-dependent release behavior. Such APIs expressly disclosed include, without limitation:</w:t>
      </w:r>
      <w:r>
        <w:t xml:space="preserve"> </w:t>
      </w:r>
      <w:r>
        <w:rPr>
          <w:b/>
          <w:bCs/>
        </w:rPr>
        <w:t xml:space="preserve">minoxidil (pKa ~4.6)</w:t>
      </w:r>
      <w:r>
        <w:t xml:space="preserve">; verapamil; diltiazem; propranolol; metoprolol; atenolol; nadolol; pindolol; sotalol; labetalol; nicardipine; felodipine; nimodipine; nisoldipine; flunarizine; amlodipine; ranolazine; mexiletine; flecainide; quinidine; procainamide; clonidine; methyldopa; reserpine; codeine; morphine; oxycodone; hydrocodone; hydromorphone; tramadol; tapentadol; methadone; fentanyl; buprenorphine; loperamide; diphenoxylate; chlorpheniramine; brompheniramine; diphenhydramine; dimenhydrinate; doxylamine; promethazine; cyclizine; meclizine; hydroxyzine; pyrilamine; tripelennamine; ranitidine; cimetidine; famotidine; loratadine; desloratadine; fexofenadine; cetirizine; levocetirizine; bupropion; venlafaxine; duloxetine; fluoxetine; paroxetine; sertraline; citalopram; escitalopram; trazodone; nefazodone; mirtazapine; amitriptyline; nortriptyline; imipramine; desipramine; clomipramine; doxepin; trimipramine; amoxapine; protriptyline; haloperidol; chlorpromazine; thioridazine; perphenazine; trifluoperazine; risperidone; paliperidone; olanzapine; quetiapine; ziprasidone; aripiprazole; clozapine; brexpiprazole; cariprazine; lurasidone; metoclopramide; domperidone; ondansetron; granisetron; tropisetron; palonosetron; itraconazole; ketoconazole; fluconazole; posaconazole; voriconazole; isavuconazole; terbinafine; griseofulvin; chloroquine; hydroxychloroquine; primaquine; quinine; mefloquine; pyrimethamine; trimethoprim; sulfadiazine; tetracycline; doxycycline; minocycline; clarithromycin; erythromycin; azithromycin; ciprofloxacin; levofloxacin; moxifloxacin; norfloxacin; ofloxacin; trimethoprim; metronidazole; nitrofurantoin; ranolazine.</w:t>
      </w:r>
    </w:p>
    <w:bookmarkEnd w:id="33"/>
    <w:bookmarkStart w:id="34" w:name="acidic-and-amphoteric-apis"/>
    <w:p>
      <w:pPr>
        <w:pStyle w:val="Heading3"/>
      </w:pPr>
      <w:r>
        <w:t xml:space="preserve">6.3 Acidic and amphoteric APIs</w:t>
      </w:r>
    </w:p>
    <w:p>
      <w:pPr>
        <w:pStyle w:val="FirstParagraph"/>
      </w:pPr>
      <w:r>
        <w:t xml:space="preserve">APIs with acidic functional groups (carboxylic acids, sulfonates, phenols) are also expressly disclosed for use in the matrix, including but not limited to: ibuprofen; naproxen; ketoprofen; diclofenac; meloxicam; piroxicam; aspirin; mefenamic acid; flurbiprofen; indomethacin; sulindac; nabumetone; celecoxib; etoricoxib; valproic acid; gabapentin; pregabalin; furosemide; bumetanide; ethacrynic acid; probenecid; allopurinol; febuxostat; methotrexate; mycophenolic acid; sulfasalazine; mesalamine; olsalazine; balsalazide; warfarin; phenytoin; phenobarbital; carbamazepine; oxcarbazepine; lamotrigine; topiramate; levetiracetam; lacosamide; ezetimibe; simvastatin; atorvastatin; pravastatin; rosuvastatin; lovastatin; fluvastatin; pitavastatin; orlistat; cholestyramine; colestipol; colesevelam.</w:t>
      </w:r>
    </w:p>
    <w:bookmarkEnd w:id="34"/>
    <w:bookmarkStart w:id="35" w:name="combinations"/>
    <w:p>
      <w:pPr>
        <w:pStyle w:val="Heading3"/>
      </w:pPr>
      <w:r>
        <w:t xml:space="preserve">6.4 Combinations</w:t>
      </w:r>
    </w:p>
    <w:p>
      <w:pPr>
        <w:pStyle w:val="FirstParagraph"/>
      </w:pPr>
      <w:r>
        <w:t xml:space="preserve">Any binary, ternary, or higher-order combination of two or more APIs in §§6.1–6.3 in a single glyceryl behenate-containing dosage form is expressly disclosed. Specifically preferred combinations with minoxidil include all combinations enumerated in</w:t>
      </w:r>
      <w:r>
        <w:t xml:space="preserve"> </w:t>
      </w:r>
      <w:r>
        <w:rPr>
          <w:rStyle w:val="VerbatimChar"/>
        </w:rPr>
        <w:t xml:space="preserve">Lipid_Matrix_Genus_Disclosure.md</w:t>
      </w:r>
      <w:r>
        <w:t xml:space="preserve"> </w:t>
      </w:r>
      <w:r>
        <w:t xml:space="preserve">§10.11 (incorporated by reference and re-published herein).</w:t>
      </w:r>
    </w:p>
    <w:p>
      <w:r>
        <w:pict>
          <v:rect style="width:0;height:1.5pt" o:hralign="center" o:hrstd="t" o:hr="t"/>
        </w:pict>
      </w:r>
    </w:p>
    <w:bookmarkEnd w:id="35"/>
    <w:bookmarkEnd w:id="36"/>
    <w:bookmarkStart w:id="37" w:name="process-genus"/>
    <w:p>
      <w:pPr>
        <w:pStyle w:val="Heading2"/>
      </w:pPr>
      <w:r>
        <w:t xml:space="preserve">7. PROCESS GENUS</w:t>
      </w:r>
    </w:p>
    <w:p>
      <w:pPr>
        <w:pStyle w:val="FirstParagraph"/>
      </w:pPr>
      <w:r>
        <w:t xml:space="preserve">All processes for manufacturing glyceryl behenate-containing dosage forms exhibiting pH-dependent extended release as described herein are expressly disclosed, including without limitation:</w:t>
      </w:r>
    </w:p>
    <w:p>
      <w:pPr>
        <w:pStyle w:val="BodyText"/>
      </w:pPr>
      <w:r>
        <w:t xml:space="preserve">Melt granulation (any temperature 35–200 °C, any agitation 5–1000 rpm, any duration 30 s – 4 h, with or without active cooling, with or without annealing); hot-melt extrusion (single- or twin-screw, co- or counter-rotating, intermeshing or non-intermeshing, 2–16 heating zones, zone temperatures 30–220 °C, screw speeds 5–1000 rpm, throughput 0.1–500 kg/h); spray congealing / spray chilling; melt pelletization; spray drying with lipid carrier; solvent evaporation / casting; supercritical fluid processing (PGSS, RESS, SAS, SEDS, ASES); coacervation; solid lipid nanoparticle / NLC preparation (high-pressure homogenization, microemulsion, solvent diffusion, solvent injection, double emulsification, ultrasonication, membrane contactor); cryogenic milling; direct compression (with or without pre-blending or thermal pretreatment); wet granulation with molten lipid binder (top-spray, bottom-spray Wurster, tangential-spray); 3D printing (FDM, SSE, SLS, powder-bed fusion, drop-on-powder, drop-on-drop); compression-coating, dry-coating, electrostatic coating; fluid-bed coating with any of the coating systems in §3.5; co-melt with cyclodextrin, mesoporous silica, polymer carrier, or co-former.</w:t>
      </w:r>
    </w:p>
    <w:p>
      <w:pPr>
        <w:pStyle w:val="BodyText"/>
      </w:pPr>
      <w:r>
        <w:t xml:space="preserve">For each process, all parameter ranges and equivalent commercial equipment from any current or future vendor are expressly disclosed, including but not limited to: Diosna, Glatt, Aeromatic-Fielder, Loedige, Leistritz, Thermo Fisher Pharma 11/16/24, Coperion ZSK, Steer Omicron, Brabender, Haake, Buss kneader, Buchi B-290, GEA Niro, ProCepT 4M8, Brace pastillator, and any equivalent.</w:t>
      </w:r>
    </w:p>
    <w:p>
      <w:r>
        <w:pict>
          <v:rect style="width:0;height:1.5pt" o:hralign="center" o:hrstd="t" o:hr="t"/>
        </w:pict>
      </w:r>
    </w:p>
    <w:bookmarkEnd w:id="37"/>
    <w:bookmarkStart w:id="38" w:name="enumerated-embodiments"/>
    <w:p>
      <w:pPr>
        <w:pStyle w:val="Heading2"/>
      </w:pPr>
      <w:r>
        <w:t xml:space="preserve">8. ENUMERATED EMBODIMENTS</w:t>
      </w:r>
    </w:p>
    <w:p>
      <w:pPr>
        <w:pStyle w:val="FirstParagraph"/>
      </w:pPr>
      <w:r>
        <w:t xml:space="preserve">Each numbered paragraph below is independently disclosed.</w:t>
      </w:r>
    </w:p>
    <w:p>
      <w:pPr>
        <w:pStyle w:val="BodyText"/>
      </w:pPr>
      <w:r>
        <w:rPr>
          <w:b/>
          <w:bCs/>
        </w:rPr>
        <w:t xml:space="preserve">G1.</w:t>
      </w:r>
      <w:r>
        <w:t xml:space="preserve"> </w:t>
      </w:r>
      <w:r>
        <w:t xml:space="preserve">A pharmaceutical composition comprising glyceryl behenate at any concentration from 1% to 100% w/w of the composition.</w:t>
      </w:r>
    </w:p>
    <w:p>
      <w:pPr>
        <w:pStyle w:val="BodyText"/>
      </w:pPr>
      <w:r>
        <w:rPr>
          <w:b/>
          <w:bCs/>
        </w:rPr>
        <w:t xml:space="preserve">G2.</w:t>
      </w:r>
      <w:r>
        <w:t xml:space="preserve"> </w:t>
      </w:r>
      <w:r>
        <w:t xml:space="preserve">The composition of G1, wherein glyceryl behenate is the sole lipid matrix former.</w:t>
      </w:r>
    </w:p>
    <w:p>
      <w:pPr>
        <w:pStyle w:val="BodyText"/>
      </w:pPr>
      <w:r>
        <w:rPr>
          <w:b/>
          <w:bCs/>
        </w:rPr>
        <w:t xml:space="preserve">G3.</w:t>
      </w:r>
      <w:r>
        <w:t xml:space="preserve"> </w:t>
      </w:r>
      <w:r>
        <w:t xml:space="preserve">The composition of G1, wherein glyceryl behenate is combined with at least one additional lipid, wax, fatty acid, fatty alcohol, sugar ester, polyglyceryl ester, sorbitan ester, phospholipid, sterol, polyglycolyzed glyceride, or hydrogenated oil at any weight ratio.</w:t>
      </w:r>
    </w:p>
    <w:p>
      <w:pPr>
        <w:pStyle w:val="BodyText"/>
      </w:pPr>
      <w:r>
        <w:rPr>
          <w:b/>
          <w:bCs/>
        </w:rPr>
        <w:t xml:space="preserve">G4.</w:t>
      </w:r>
      <w:r>
        <w:t xml:space="preserve"> </w:t>
      </w:r>
      <w:r>
        <w:t xml:space="preserve">The composition of any of G1–G3, further comprising one or more APIs from §6 at any unit dose from 0.01 mg to 5000 mg.</w:t>
      </w:r>
    </w:p>
    <w:p>
      <w:pPr>
        <w:pStyle w:val="BodyText"/>
      </w:pPr>
      <w:r>
        <w:rPr>
          <w:b/>
          <w:bCs/>
        </w:rPr>
        <w:t xml:space="preserve">G5.</w:t>
      </w:r>
      <w:r>
        <w:t xml:space="preserve"> </w:t>
      </w:r>
      <w:r>
        <w:t xml:space="preserve">The composition of G4, wherein the API is minoxidil or a pharmaceutically acceptable salt thereof.</w:t>
      </w:r>
    </w:p>
    <w:p>
      <w:pPr>
        <w:pStyle w:val="BodyText"/>
      </w:pPr>
      <w:r>
        <w:rPr>
          <w:b/>
          <w:bCs/>
        </w:rPr>
        <w:t xml:space="preserve">G6.</w:t>
      </w:r>
      <w:r>
        <w:t xml:space="preserve"> </w:t>
      </w:r>
      <w:r>
        <w:t xml:space="preserve">The composition of any of G1–G5, further comprising one or more pharmaceutically acceptable additives selected from PEGs, poloxamers, polysorbates, fillers, lubricants, glidants, plasticizers, antioxidants, colorants, sweeteners, taste-maskers, or preservatives.</w:t>
      </w:r>
    </w:p>
    <w:p>
      <w:pPr>
        <w:pStyle w:val="BodyText"/>
      </w:pPr>
      <w:r>
        <w:rPr>
          <w:b/>
          <w:bCs/>
        </w:rPr>
        <w:t xml:space="preserve">G7.</w:t>
      </w:r>
      <w:r>
        <w:t xml:space="preserve"> </w:t>
      </w:r>
      <w:r>
        <w:t xml:space="preserve">The composition of any of G1–G6, in the form of a tablet, capsule, mini-tablet, micro-tablet, MUPS, sachet, sprinkle, ODT, sublingual film, buccal tablet, chewable tablet, gummy, lozenge, depot, or implant.</w:t>
      </w:r>
    </w:p>
    <w:p>
      <w:pPr>
        <w:pStyle w:val="BodyText"/>
      </w:pPr>
      <w:r>
        <w:rPr>
          <w:b/>
          <w:bCs/>
        </w:rPr>
        <w:t xml:space="preserve">G8.</w:t>
      </w:r>
      <w:r>
        <w:t xml:space="preserve"> </w:t>
      </w:r>
      <w:r>
        <w:t xml:space="preserve">The composition of any of G1–G7, further comprising a functional or non-functional coating per §3.5.</w:t>
      </w:r>
    </w:p>
    <w:p>
      <w:pPr>
        <w:pStyle w:val="BodyText"/>
      </w:pPr>
      <w:r>
        <w:rPr>
          <w:b/>
          <w:bCs/>
        </w:rPr>
        <w:t xml:space="preserve">G9.</w:t>
      </w:r>
      <w:r>
        <w:t xml:space="preserve"> </w:t>
      </w:r>
      <w:r>
        <w:t xml:space="preserve">The composition of any of G1–G8, manufactured by any process in §7.</w:t>
      </w:r>
    </w:p>
    <w:p>
      <w:pPr>
        <w:pStyle w:val="BodyText"/>
      </w:pPr>
      <w:r>
        <w:rPr>
          <w:b/>
          <w:bCs/>
        </w:rPr>
        <w:t xml:space="preserve">G10.</w:t>
      </w:r>
      <w:r>
        <w:t xml:space="preserve"> </w:t>
      </w:r>
      <w:r>
        <w:t xml:space="preserve">The composition of any of G1–G9,</w:t>
      </w:r>
      <w:r>
        <w:t xml:space="preserve"> </w:t>
      </w:r>
      <w:r>
        <w:rPr>
          <w:b/>
          <w:bCs/>
        </w:rPr>
        <w:t xml:space="preserve">wherein the composition exhibits pH-dependent extended release defined as any ratio (acidic/neutral % release at time t) ≥ 1.2 at any time point t between 5 minutes and 24 hours, when tested under any USP Apparatus / pH / volume / agitation / temperature combination disclosed herein</w:t>
      </w:r>
      <w:r>
        <w:t xml:space="preserve">.</w:t>
      </w:r>
    </w:p>
    <w:p>
      <w:pPr>
        <w:pStyle w:val="BodyText"/>
      </w:pPr>
      <w:r>
        <w:rPr>
          <w:b/>
          <w:bCs/>
        </w:rPr>
        <w:t xml:space="preserve">G11.</w:t>
      </w:r>
      <w:r>
        <w:t xml:space="preserve"> </w:t>
      </w:r>
      <w:r>
        <w:t xml:space="preserve">The composition of G10, wherein the ratio is ≥ 2, ≥ 3, ≥ 5, ≥ 10, ≥ 20, or ≥ 100 at any one or more time points selected from 30 min, 1, 2, 4, 6, 8, 12, 16, or 24 hours.</w:t>
      </w:r>
    </w:p>
    <w:p>
      <w:pPr>
        <w:pStyle w:val="BodyText"/>
      </w:pPr>
      <w:r>
        <w:rPr>
          <w:b/>
          <w:bCs/>
        </w:rPr>
        <w:t xml:space="preserve">G12.</w:t>
      </w:r>
      <w:r>
        <w:t xml:space="preserve"> </w:t>
      </w:r>
      <w:r>
        <w:t xml:space="preserve">The composition of any of G1–G11, exhibiting a cumulative percentage release falling within any of the ranges in §4.3 at any of the disclosed time points.</w:t>
      </w:r>
    </w:p>
    <w:p>
      <w:pPr>
        <w:pStyle w:val="BodyText"/>
      </w:pPr>
      <w:r>
        <w:rPr>
          <w:b/>
          <w:bCs/>
        </w:rPr>
        <w:t xml:space="preserve">G13.</w:t>
      </w:r>
      <w:r>
        <w:t xml:space="preserve"> </w:t>
      </w:r>
      <w:r>
        <w:t xml:space="preserve">The composition of any of G1–G11, exhibiting any of the worked dissolution profiles in §5 (Examples α, β, γ, δ, ε), or any profile within ±20% of any timepoint value of any of the foregoing.</w:t>
      </w:r>
    </w:p>
    <w:p>
      <w:pPr>
        <w:pStyle w:val="BodyText"/>
      </w:pPr>
      <w:r>
        <w:rPr>
          <w:b/>
          <w:bCs/>
        </w:rPr>
        <w:t xml:space="preserve">G14.</w:t>
      </w:r>
      <w:r>
        <w:t xml:space="preserve"> </w:t>
      </w:r>
      <w:r>
        <w:t xml:space="preserve">The composition of any of G1–G13, wherein the pH-dependent release behavior is produced by any one or more of mechanisms (a)–(j) of §4.4, or any other mechanism, known or unknown.</w:t>
      </w:r>
    </w:p>
    <w:p>
      <w:pPr>
        <w:pStyle w:val="BodyText"/>
      </w:pPr>
      <w:r>
        <w:rPr>
          <w:b/>
          <w:bCs/>
        </w:rPr>
        <w:t xml:space="preserve">G15.</w:t>
      </w:r>
      <w:r>
        <w:t xml:space="preserve"> </w:t>
      </w:r>
      <w:r>
        <w:t xml:space="preserve">A method of treating, managing, or preventing a condition responsive to any API in §6, comprising orally administering to a subject in need thereof the composition of any of G1–G14, once daily, twice daily, three times daily, four times daily, every 6/8/12/24/36/48/72 hours, weekly, biweekly, monthly, or as needed.</w:t>
      </w:r>
    </w:p>
    <w:p>
      <w:pPr>
        <w:pStyle w:val="BodyText"/>
      </w:pPr>
      <w:r>
        <w:rPr>
          <w:b/>
          <w:bCs/>
        </w:rPr>
        <w:t xml:space="preserve">G16.</w:t>
      </w:r>
      <w:r>
        <w:t xml:space="preserve"> </w:t>
      </w:r>
      <w:r>
        <w:t xml:space="preserve">The method of G15, wherein the condition is hair loss (including androgenetic alopecia, telogen effluvium, alopecia areata, central centrifugal cicatricial alopecia, lichen planopilaris, frontal fibrosing alopecia, traction alopecia, scarring alopecia, chemotherapy-induced alopecia, postpartum hair loss, or any sub-type) and the API comprises minoxidil.</w:t>
      </w:r>
    </w:p>
    <w:p>
      <w:pPr>
        <w:pStyle w:val="BodyText"/>
      </w:pPr>
      <w:r>
        <w:rPr>
          <w:b/>
          <w:bCs/>
        </w:rPr>
        <w:t xml:space="preserve">G17.</w:t>
      </w:r>
      <w:r>
        <w:t xml:space="preserve"> </w:t>
      </w:r>
      <w:r>
        <w:t xml:space="preserve">The composition of any of G1–G14, wherein glyceryl behenate is present at 5–10%, 10–15%, 15–20%, 20–25%, 25–30%, 30–35%, 35–40%, 40–45%, 45–50%, 50–55%, 55–60%, 60–65%, 65–70%, 70–75%, 75–80%, 80–85%, 85–90%, 90–95%, or 95–100% w/w (each sub-range and each integer percent expressly disclosed).</w:t>
      </w:r>
    </w:p>
    <w:p>
      <w:pPr>
        <w:pStyle w:val="BodyText"/>
      </w:pPr>
      <w:r>
        <w:rPr>
          <w:b/>
          <w:bCs/>
        </w:rPr>
        <w:t xml:space="preserve">G18.</w:t>
      </w:r>
      <w:r>
        <w:t xml:space="preserve"> </w:t>
      </w:r>
      <w:r>
        <w:t xml:space="preserve">The composition of any of G1–G14,</w:t>
      </w:r>
      <w:r>
        <w:t xml:space="preserve"> </w:t>
      </w:r>
      <w:r>
        <w:rPr>
          <w:b/>
          <w:bCs/>
        </w:rPr>
        <w:t xml:space="preserve">claimed independently of mechanism, theory, or causal explanation</w:t>
      </w:r>
      <w:r>
        <w:t xml:space="preserve">: the disclosed compositions encompass all glyceryl behenate-containing matrix compositions exhibiting any of the recited dissolution profiles or pH-dependence ratios, regardless of whether the pH-dependence is attributable to (i) the lipid behavior itself, (ii) a coating, (iii) a co-excipient, (iv) the API’s own pH-dependent solubility, (v) a buffering agent, (vi) lipase or bile-salt interaction, (vii) any combination of the foregoing, or (viii) any other mechanism.</w:t>
      </w:r>
    </w:p>
    <w:p>
      <w:r>
        <w:pict>
          <v:rect style="width:0;height:1.5pt" o:hralign="center" o:hrstd="t" o:hr="t"/>
        </w:pict>
      </w:r>
    </w:p>
    <w:bookmarkEnd w:id="38"/>
    <w:bookmarkStart w:id="39" w:name="scope-expansion-clause"/>
    <w:p>
      <w:pPr>
        <w:pStyle w:val="Heading2"/>
      </w:pPr>
      <w:r>
        <w:t xml:space="preserve">9. SCOPE-EXPANSION CLAUSE</w:t>
      </w:r>
    </w:p>
    <w:p>
      <w:pPr>
        <w:pStyle w:val="FirstParagraph"/>
      </w:pPr>
      <w:r>
        <w:t xml:space="preserve">The disclosed subject matter expressly includes:</w:t>
      </w:r>
    </w:p>
    <w:p>
      <w:pPr>
        <w:pStyle w:val="Compact"/>
        <w:numPr>
          <w:ilvl w:val="0"/>
          <w:numId w:val="1005"/>
        </w:numPr>
      </w:pPr>
      <w:r>
        <w:t xml:space="preserve">all sub-ranges contained within any range disclosed herein;</w:t>
      </w:r>
    </w:p>
    <w:p>
      <w:pPr>
        <w:pStyle w:val="Compact"/>
        <w:numPr>
          <w:ilvl w:val="0"/>
          <w:numId w:val="1005"/>
        </w:numPr>
      </w:pPr>
      <w:r>
        <w:t xml:space="preserve">all integer and 0.1% w/w increments within any range;</w:t>
      </w:r>
    </w:p>
    <w:p>
      <w:pPr>
        <w:pStyle w:val="Compact"/>
        <w:numPr>
          <w:ilvl w:val="0"/>
          <w:numId w:val="1005"/>
        </w:numPr>
      </w:pPr>
      <w:r>
        <w:t xml:space="preserve">all individual species within any genus or Markush group;</w:t>
      </w:r>
    </w:p>
    <w:p>
      <w:pPr>
        <w:pStyle w:val="Compact"/>
        <w:numPr>
          <w:ilvl w:val="0"/>
          <w:numId w:val="1005"/>
        </w:numPr>
      </w:pPr>
      <w:r>
        <w:t xml:space="preserve">all combinations, permutations, and ratios of any two or more components, sub-genera, or species disclosed herein;</w:t>
      </w:r>
    </w:p>
    <w:p>
      <w:pPr>
        <w:pStyle w:val="Compact"/>
        <w:numPr>
          <w:ilvl w:val="0"/>
          <w:numId w:val="1005"/>
        </w:numPr>
      </w:pPr>
      <w:r>
        <w:t xml:space="preserve">all dosage forms of all compositions made by all processes for all APIs treating all indications in all patient populations within the scope of this disclosure or its companion disclosure</w:t>
      </w:r>
      <w:r>
        <w:t xml:space="preserve"> </w:t>
      </w:r>
      <w:r>
        <w:rPr>
          <w:rStyle w:val="VerbatimChar"/>
        </w:rPr>
        <w:t xml:space="preserve">Lipid_Matrix_Genus_Disclosure.md</w:t>
      </w:r>
      <w:r>
        <w:t xml:space="preserve">;</w:t>
      </w:r>
    </w:p>
    <w:p>
      <w:pPr>
        <w:pStyle w:val="Compact"/>
        <w:numPr>
          <w:ilvl w:val="0"/>
          <w:numId w:val="1005"/>
        </w:numPr>
      </w:pPr>
      <w:r>
        <w:t xml:space="preserve">any pharmaceutically acceptable salt, solvate, hydrate, polymorph, co-crystal, prodrug, isomer, enantiomer, racemate, deuterated form, or isotopologue of any disclosed API;</w:t>
      </w:r>
    </w:p>
    <w:p>
      <w:pPr>
        <w:pStyle w:val="Compact"/>
        <w:numPr>
          <w:ilvl w:val="0"/>
          <w:numId w:val="1005"/>
        </w:numPr>
      </w:pPr>
      <w:r>
        <w:t xml:space="preserve">any equivalent commercial excipient grade from any manufacturer (current or future) that meets the same compendial monograph for glyceryl behenate or any other excipient mentioned herein;</w:t>
      </w:r>
    </w:p>
    <w:p>
      <w:pPr>
        <w:pStyle w:val="Compact"/>
        <w:numPr>
          <w:ilvl w:val="0"/>
          <w:numId w:val="1005"/>
        </w:numPr>
      </w:pPr>
      <w:r>
        <w:t xml:space="preserve">any equivalent process equipment from any manufacturer achieving substantially the same lipid-matrix solid form;</w:t>
      </w:r>
    </w:p>
    <w:p>
      <w:pPr>
        <w:pStyle w:val="Compact"/>
        <w:numPr>
          <w:ilvl w:val="0"/>
          <w:numId w:val="1005"/>
        </w:numPr>
      </w:pPr>
      <w:r>
        <w:t xml:space="preserve">any combination of two or more enumerated embodiments (§8);</w:t>
      </w:r>
    </w:p>
    <w:p>
      <w:pPr>
        <w:pStyle w:val="Compact"/>
        <w:numPr>
          <w:ilvl w:val="0"/>
          <w:numId w:val="1005"/>
        </w:numPr>
      </w:pPr>
      <w:r>
        <w:t xml:space="preserve">any composition described herein further comprising any pharmaceutically acceptable additive at a level consistent with regulatory and compendial standards.</w:t>
      </w:r>
    </w:p>
    <w:p>
      <w:pPr>
        <w:pStyle w:val="FirstParagraph"/>
      </w:pPr>
      <w:r>
        <w:t xml:space="preserve">To the extent any subject matter is not literally enumerated herein but would be obvious to a person of ordinary skill in the pharmaceutical formulation arts in view of the explicit disclosure, such subject matter is also intended to be placed in the public domain by this publication.</w:t>
      </w:r>
    </w:p>
    <w:p>
      <w:pPr>
        <w:pStyle w:val="BodyText"/>
      </w:pPr>
      <w:r>
        <w:t xml:space="preserve">This supplemental disclosure incorporates by reference the entirety of</w:t>
      </w:r>
      <w:r>
        <w:t xml:space="preserve"> </w:t>
      </w:r>
      <w:r>
        <w:rPr>
          <w:rStyle w:val="VerbatimChar"/>
        </w:rPr>
        <w:t xml:space="preserve">Lipid_Matrix_Genus_Disclosure.md</w:t>
      </w:r>
      <w:r>
        <w:t xml:space="preserve"> </w:t>
      </w:r>
      <w:r>
        <w:t xml:space="preserve">(May 4, 2026, this repository) and</w:t>
      </w:r>
      <w:r>
        <w:t xml:space="preserve"> </w:t>
      </w:r>
      <w:r>
        <w:rPr>
          <w:rStyle w:val="VerbatimChar"/>
        </w:rPr>
        <w:t xml:space="preserve">Minoxidil_ER_Formulations.md</w:t>
      </w:r>
      <w:r>
        <w:t xml:space="preserve"> </w:t>
      </w:r>
      <w:r>
        <w:t xml:space="preserve">(February 4, 2026, this repository). All subject matter disclosed in either of those documents is also disclosed by reference in this document, with the same prior-art effective date as in those documents (or, where this document is broader, with the additional effective date of May 4, 2026 corresponding to this supplemental publication).</w:t>
      </w:r>
    </w:p>
    <w:p>
      <w:r>
        <w:pict>
          <v:rect style="width:0;height:1.5pt" o:hralign="center" o:hrstd="t" o:hr="t"/>
        </w:pict>
      </w:r>
    </w:p>
    <w:bookmarkEnd w:id="39"/>
    <w:bookmarkStart w:id="40" w:name="prior-art-effective-date"/>
    <w:p>
      <w:pPr>
        <w:pStyle w:val="Heading2"/>
      </w:pPr>
      <w:r>
        <w:t xml:space="preserve">10. PRIOR-ART EFFECTIVE DATE</w:t>
      </w:r>
    </w:p>
    <w:p>
      <w:pPr>
        <w:pStyle w:val="FirstParagraph"/>
      </w:pPr>
      <w:r>
        <w:t xml:space="preserve">This publication, including all sections and worked examples herein, is publicly available via: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Date</w:t>
            </w:r>
          </w:p>
        </w:tc>
        <w:tc>
          <w:tcPr/>
          <w:p>
            <w:pPr>
              <w:pStyle w:val="Compact"/>
            </w:pPr>
            <w:r>
              <w:t xml:space="preserve">URL / Evidence</w:t>
            </w:r>
          </w:p>
        </w:tc>
      </w:tr>
      <w:tr>
        <w:tc>
          <w:tcPr/>
          <w:p>
            <w:pPr>
              <w:pStyle w:val="Compact"/>
            </w:pPr>
            <w:r>
              <w:t xml:space="preserve">GitHub (this repository, public commit)</w:t>
            </w:r>
          </w:p>
        </w:tc>
        <w:tc>
          <w:tcPr/>
          <w:p>
            <w:pPr>
              <w:pStyle w:val="Compact"/>
            </w:pPr>
            <w:r>
              <w:t xml:space="preserve">May 4, 2026</w:t>
            </w:r>
          </w:p>
        </w:tc>
        <w:tc>
          <w:tcPr/>
          <w:p>
            <w:pPr>
              <w:pStyle w:val="Compact"/>
            </w:pPr>
            <w:r>
              <w:t xml:space="preserve">https://github.com/apbakst/lipid-matrix-er-disclosures</w:t>
            </w:r>
          </w:p>
        </w:tc>
      </w:tr>
      <w:tr>
        <w:tc>
          <w:tcPr/>
          <w:p>
            <w:pPr>
              <w:pStyle w:val="Compact"/>
            </w:pPr>
            <w:r>
              <w:t xml:space="preserve">Archive.org (Wayback Machine snapshot)</w:t>
            </w:r>
          </w:p>
        </w:tc>
        <w:tc>
          <w:tcPr/>
          <w:p>
            <w:pPr>
              <w:pStyle w:val="Compact"/>
            </w:pPr>
            <w:r>
              <w:t xml:space="preserve">(to be captured upon publication)</w:t>
            </w:r>
          </w:p>
        </w:tc>
        <w:tc>
          <w:tcPr/>
          <w:p>
            <w:pPr>
              <w:pStyle w:val="Compact"/>
            </w:pPr>
            <w:r>
              <w:t xml:space="preserve">https://web.archive.org</w:t>
            </w:r>
          </w:p>
        </w:tc>
      </w:tr>
      <w:tr>
        <w:tc>
          <w:tcPr/>
          <w:p>
            <w:pPr>
              <w:pStyle w:val="Compact"/>
            </w:pPr>
            <w:r>
              <w:t xml:space="preserve">File hashes (SHA-256, this file)</w:t>
            </w:r>
          </w:p>
        </w:tc>
        <w:tc>
          <w:tcPr/>
          <w:p>
            <w:pPr>
              <w:pStyle w:val="Compact"/>
            </w:pPr>
            <w:r>
              <w:t xml:space="preserve">(computed at commit)</w:t>
            </w:r>
          </w:p>
        </w:tc>
        <w:tc>
          <w:tcPr/>
          <w:p>
            <w:pPr>
              <w:pStyle w:val="Compact"/>
            </w:pPr>
            <w:r>
              <w:rPr>
                <w:rStyle w:val="VerbatimChar"/>
              </w:rPr>
              <w:t xml:space="preserve">FILE_HASHES.txt</w:t>
            </w:r>
          </w:p>
        </w:tc>
      </w:tr>
    </w:tbl>
    <w:p>
      <w:pPr>
        <w:pStyle w:val="BodyText"/>
      </w:pPr>
      <w:r>
        <w:t xml:space="preserve">Combined with the prior disclosures of February 4, 2026 and the broad lipid matrix genus disclosure of May 4, 2026 in this repository, this supplemental disclosure establishes prior art under 35 U.S.C. § 102(a)(1), EPC Article 54, and analogous provisions in other jurisdictions for all subject matter described or reasonably suggested herein.</w:t>
      </w:r>
    </w:p>
    <w:p>
      <w:r>
        <w:pict>
          <v:rect style="width:0;height:1.5pt" o:hralign="center" o:hrstd="t" o:hr="t"/>
        </w:pict>
      </w:r>
    </w:p>
    <w:bookmarkEnd w:id="40"/>
    <w:bookmarkStart w:id="41" w:name="license"/>
    <w:p>
      <w:pPr>
        <w:pStyle w:val="Heading2"/>
      </w:pPr>
      <w:r>
        <w:t xml:space="preserve">11. LICENSE</w:t>
      </w:r>
    </w:p>
    <w:p>
      <w:pPr>
        <w:pStyle w:val="FirstParagraph"/>
      </w:pPr>
      <w:r>
        <w:t xml:space="preserve">Written content of this document is dedicated to the public domain under</w:t>
      </w:r>
      <w:r>
        <w:t xml:space="preserve"> </w:t>
      </w:r>
      <w:hyperlink r:id="rId11">
        <w:r>
          <w:rPr>
            <w:rStyle w:val="Hyperlink"/>
          </w:rPr>
          <w:t xml:space="preserve">CC0 1.0 Universal</w:t>
        </w:r>
      </w:hyperlink>
      <w:r>
        <w:t xml:space="preserve">. Trademark rights and any patent rights of the discloser are not waived; the discloser reserves the inventor grace period under 35 U.S.C. § 102(b)(1)(A) (one year from this disclosure date, in the United States only).</w:t>
      </w:r>
    </w:p>
    <w:p>
      <w:r>
        <w:pict>
          <v:rect style="width:0;height:1.5pt" o:hralign="center" o:hrstd="t" o:hr="t"/>
        </w:pict>
      </w:r>
    </w:p>
    <w:p>
      <w:pPr>
        <w:pStyle w:val="FirstParagraph"/>
      </w:pPr>
      <w:r>
        <w:rPr>
          <w:i/>
          <w:iCs/>
        </w:rPr>
        <w:t xml:space="preserve">Prepared and published: May 4, 2026 by</w:t>
      </w:r>
      <w:r>
        <w:rPr>
          <w:i/>
          <w:iCs/>
        </w:rPr>
        <w:t xml:space="preserve"> </w:t>
      </w:r>
      <w:hyperlink r:id="rId9">
        <w:r>
          <w:rPr>
            <w:rStyle w:val="Hyperlink"/>
            <w:i/>
            <w:iCs/>
          </w:rPr>
          <w:t xml:space="preserve">@apbakst</w:t>
        </w:r>
      </w:hyperlink>
      <w:r>
        <w:rPr>
          <w:i/>
          <w:iCs/>
        </w:rPr>
        <w:t xml:space="preserve">.</w:t>
      </w:r>
    </w:p>
    <w:p>
      <w:pPr>
        <w:pStyle w:val="BodyText"/>
      </w:pPr>
      <w:r>
        <w:rPr>
          <w:i/>
          <w:iCs/>
        </w:rPr>
        <w:t xml:space="preserve">This is a technical disclosure for prior-art purposes. It is not medical advice. Compositions, processes, and combinations described herein have not been evaluated by any regulatory authority. Any clinical use requires appropriate regulatory authorization.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creativecommons.org/publicdomain/zero/1.0/" TargetMode="External" /><Relationship Type="http://schemas.openxmlformats.org/officeDocument/2006/relationships/hyperlink" Id="rId9" Target="https://github.com/apbakst" TargetMode="External" /></Relationships>
</file>

<file path=word/_rels/footnotes.xml.rels><?xml version="1.0" encoding="UTF-8"?><Relationships xmlns="http://schemas.openxmlformats.org/package/2006/relationships"><Relationship Type="http://schemas.openxmlformats.org/officeDocument/2006/relationships/hyperlink" Id="rId11" Target="https://creativecommons.org/publicdomain/zero/1.0/" TargetMode="External" /><Relationship Type="http://schemas.openxmlformats.org/officeDocument/2006/relationships/hyperlink" Id="rId9" Target="https://github.com/apbak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2026-05-04T17:20:26Z</dcterms:created>
  <dcterms:modified xsi:type="dcterms:W3CDTF">2026-05-04T17:20:26Z</dcterms:modified>
</cp:coreProperties>
</file>

<file path=docProps/custom.xml><?xml version="1.0" encoding="utf-8"?>
<Properties xmlns="http://schemas.openxmlformats.org/officeDocument/2006/custom-properties" xmlns:vt="http://schemas.openxmlformats.org/officeDocument/2006/docPropsVTypes"/>
</file>